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77" w:rsidRDefault="00F92377" w:rsidP="00F92377">
      <w:pPr>
        <w:pStyle w:val="2"/>
        <w:shd w:val="clear" w:color="auto" w:fill="FFFFFF"/>
        <w:spacing w:before="360" w:after="240"/>
        <w:rPr>
          <w:rFonts w:ascii="Arial" w:hAnsi="Arial" w:cs="Arial"/>
          <w:color w:val="333333"/>
          <w:sz w:val="21"/>
          <w:szCs w:val="21"/>
        </w:rPr>
      </w:pPr>
      <w:r>
        <w:rPr>
          <w:rFonts w:ascii="Arial" w:hAnsi="Arial" w:cs="Arial"/>
          <w:color w:val="333333"/>
          <w:sz w:val="21"/>
          <w:szCs w:val="21"/>
        </w:rPr>
        <w:t>Минимальные стандартные правила Организации Объединенных Наций, касающиеся отправления правосудия в отношении несовершеннолетних (Пекинские правила)</w:t>
      </w:r>
    </w:p>
    <w:p w:rsidR="00F92377" w:rsidRPr="00F92377" w:rsidRDefault="00F92377" w:rsidP="00F92377">
      <w:pPr>
        <w:pBdr>
          <w:bottom w:val="dotted" w:sz="6" w:space="2" w:color="074BB0"/>
        </w:pBdr>
        <w:shd w:val="clear" w:color="auto" w:fill="F6F6F7"/>
        <w:spacing w:before="480" w:after="120" w:line="240" w:lineRule="auto"/>
        <w:outlineLvl w:val="2"/>
        <w:rPr>
          <w:rFonts w:ascii="Arial" w:eastAsia="Times New Roman" w:hAnsi="Arial" w:cs="Arial"/>
          <w:color w:val="000000"/>
          <w:sz w:val="21"/>
          <w:szCs w:val="21"/>
          <w:lang w:eastAsia="uk-UA"/>
        </w:rPr>
      </w:pPr>
      <w:r w:rsidRPr="00F92377">
        <w:rPr>
          <w:rFonts w:ascii="Arial" w:eastAsia="Times New Roman" w:hAnsi="Arial" w:cs="Arial"/>
          <w:color w:val="000000"/>
          <w:sz w:val="21"/>
          <w:szCs w:val="21"/>
          <w:lang w:eastAsia="uk-UA"/>
        </w:rPr>
        <w:t>Часть первая. Общие принципы</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 Основные цели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1.1 Государства-участники должны стремиться, в соответствии со своими общими интересами, способствовать благополучию несовершеннолетнего и его или ее семьи.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1.2 </w:t>
      </w:r>
      <w:hyperlink r:id="rId4" w:history="1">
        <w:r w:rsidRPr="00F92377">
          <w:rPr>
            <w:rFonts w:ascii="Arial" w:eastAsia="Times New Roman" w:hAnsi="Arial" w:cs="Arial"/>
            <w:color w:val="333333"/>
            <w:sz w:val="18"/>
            <w:u w:val="single"/>
            <w:lang w:eastAsia="uk-UA"/>
          </w:rPr>
          <w:t>Государства-члены</w:t>
        </w:r>
      </w:hyperlink>
      <w:r w:rsidRPr="00F92377">
        <w:rPr>
          <w:rFonts w:ascii="Arial" w:eastAsia="Times New Roman" w:hAnsi="Arial" w:cs="Arial"/>
          <w:color w:val="333333"/>
          <w:sz w:val="18"/>
          <w:szCs w:val="18"/>
          <w:lang w:eastAsia="uk-UA"/>
        </w:rPr>
        <w:t> должны стремиться к созданию условий, позволяющих обеспечить содержательную жизнь подростка в обществе, которая, в тот период жизни, когда она или он наиболее склонны к неправильному поведению, будет благоприятствовать процессу развития личности и получения образования, в максимальной степени свободному от возможности совершения преступлений и правонарушений.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1.3 Следует уделять достаточное внимание осуществлению позитивных мер, предполагающих полную мобилизацию всех возможных ресурсов, включая семью, добровольцев и другие группы общества, а также школы и другие общественные институты, с целью содействия благополучию подростка, с тем чтобы сократить необходимость вмешательства со стороны закона, и эффективного, справедливого и гуманного обращения с подростком, находящимся в конфликте с законом.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1.4 Правосудие в отношении несовершеннолетних должно являться составной частью процесса национального развития каждой страны в рамках всестороннего обеспечения социальной справедливости для всех несовершеннолетних, одновременно содействуя таким образом защите молодежи и поддержанию мирного порядка в обществе.</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1.5 Настоящие Правила будут осуществляться в контексте экономических, социальных и культурных условий, существующих в каждом государстве-члене.</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1.6 Следует систематически развивать и координировать службы правосудия в отношении несовершеннолетних в целях повышения и поддержания на должном уровне квалификации персонала этих служб, включая их методы, подходы и отношение.</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Эти широкие основные цели касаются всеобъемлющей социальной политики в целом и направлены на оказание максимального содействия обеспечению благополучия несовершеннолетних, что сведет до минимума необходимость вмешательства со стороны системы правосудия в отношении несовершеннолетних и, в свою очередь, уменьшит ущерб, который может быть нанесен каким-либо вмешательством вообще. Такие меры заботы в отношении молодежи, принимаемые до совершения правонарушений, являются основным содержанием политики, направленной на устранение необходимости применения настоящих Правил.</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правилах 1.1–1.3 указано на важную роль, которую будет играть конструктивная социальная политика в отношении несовершеннолетних, в частности в предотвращении преступлений и правонарушений, совершаемых несовершеннолетними. В правиле 1.4 правосудие в отношении несовершеннолетних определяется как составная часть системы обеспечения социальной справедливости для несовершеннолетних, а в правиле 1.6 указывается на необходимость постоянного совершенствования системы правосудия в отношении несовершеннолетних, принимая одновременно меры для разработки прогрессивной социальной политики в отношении несовершеннолетних в целом и учитывая необходимость постоянного улучшения работы персонала этой системы.</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Цель правила 1.5 заключается в том, чтобы отразить существующие в государствах-членах условия, от которых могут зависеть формы применения конкретных правил; эти формы неизбежно будут отличаться от форм, применяемых другими государствами.</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 Сфера применения Правил и используемые определения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2.1 Следующие Минимальные стандартные правила применяются к несовершеннолетним правонарушителям беспристрастно, без каких бы то ни было различий в отношении, например, расы, цвета кожи, пола, языка, вероисповедания, политических или иных убеждений, национального или социального происхождения, имущественного, сословного или иного положения.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2.2 Для целей настоящих Правил государства-члены применяют следующие определения таким образом, чтобы это отвечало их соответствующим правовым системам и концепциям: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а</w:t>
      </w:r>
      <w:r w:rsidRPr="00F92377">
        <w:rPr>
          <w:rFonts w:ascii="Arial" w:eastAsia="Times New Roman" w:hAnsi="Arial" w:cs="Arial"/>
          <w:color w:val="333333"/>
          <w:sz w:val="18"/>
          <w:szCs w:val="18"/>
          <w:lang w:eastAsia="uk-UA"/>
        </w:rPr>
        <w:t>) несовершеннолетним является ребенок или молодой человек, который в рамках существующей правовой системы может быть привлечен за правонарушение к ответственности в такой форме, которая отличается от формы ответственности, применимой к взрослому;</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lastRenderedPageBreak/>
        <w:t>b</w:t>
      </w:r>
      <w:r w:rsidRPr="00F92377">
        <w:rPr>
          <w:rFonts w:ascii="Arial" w:eastAsia="Times New Roman" w:hAnsi="Arial" w:cs="Arial"/>
          <w:color w:val="333333"/>
          <w:sz w:val="18"/>
          <w:szCs w:val="18"/>
          <w:lang w:eastAsia="uk-UA"/>
        </w:rPr>
        <w:t>) правонарушением является любой проступок (действие или бездействие), наказуемый по закону в рамках существующей правовой системы;</w:t>
      </w:r>
    </w:p>
    <w:p w:rsidR="00F92377" w:rsidRPr="00F92377" w:rsidRDefault="00F92377" w:rsidP="00F92377">
      <w:pPr>
        <w:shd w:val="clear" w:color="auto" w:fill="FFFFFF"/>
        <w:spacing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с</w:t>
      </w:r>
      <w:r w:rsidRPr="00F92377">
        <w:rPr>
          <w:rFonts w:ascii="Arial" w:eastAsia="Times New Roman" w:hAnsi="Arial" w:cs="Arial"/>
          <w:color w:val="333333"/>
          <w:sz w:val="18"/>
          <w:szCs w:val="18"/>
          <w:lang w:eastAsia="uk-UA"/>
        </w:rPr>
        <w:t>) несовершеннолетним правонарушителем является ребенок или молодой человек, который подозревается в совершении правонарушения или, как установлено, совершил его.</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2.3 В рамках каждой национальной юрисдикции следует предпринять усилия для принятия комплекса законов, правил и положений, которые относятся непосредственно к несовершеннолетним правонарушителям и учреждениям и органам, в функции которых входит отправление правосудия в отношении несовершеннолетних, и которые призваны:</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а</w:t>
      </w:r>
      <w:r w:rsidRPr="00F92377">
        <w:rPr>
          <w:rFonts w:ascii="Arial" w:eastAsia="Times New Roman" w:hAnsi="Arial" w:cs="Arial"/>
          <w:color w:val="333333"/>
          <w:sz w:val="18"/>
          <w:szCs w:val="18"/>
          <w:lang w:eastAsia="uk-UA"/>
        </w:rPr>
        <w:t>) удовлетворять различные потребности несовершеннолетних правонарушителей, защищая при этом их основные права;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b</w:t>
      </w:r>
      <w:r w:rsidRPr="00F92377">
        <w:rPr>
          <w:rFonts w:ascii="Arial" w:eastAsia="Times New Roman" w:hAnsi="Arial" w:cs="Arial"/>
          <w:color w:val="333333"/>
          <w:sz w:val="18"/>
          <w:szCs w:val="18"/>
          <w:lang w:eastAsia="uk-UA"/>
        </w:rPr>
        <w:t>) удовлетворять потребности общества;</w:t>
      </w:r>
    </w:p>
    <w:p w:rsidR="00F92377" w:rsidRPr="00F92377" w:rsidRDefault="00F92377" w:rsidP="00F92377">
      <w:pPr>
        <w:shd w:val="clear" w:color="auto" w:fill="FFFFFF"/>
        <w:spacing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с</w:t>
      </w:r>
      <w:r w:rsidRPr="00F92377">
        <w:rPr>
          <w:rFonts w:ascii="Arial" w:eastAsia="Times New Roman" w:hAnsi="Arial" w:cs="Arial"/>
          <w:color w:val="333333"/>
          <w:sz w:val="18"/>
          <w:szCs w:val="18"/>
          <w:lang w:eastAsia="uk-UA"/>
        </w:rPr>
        <w:t>) проводить в жизнь следующие правила неукоснительно и беспристрастно.</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Минимальные стандартные правила специально сформулированы таким образом, чтобы они могли применяться в рамках различных правовых систем и в то же время устанавливать некоторые минимальные стандарты в обращении с несовершеннолетними правонарушителями при любом существующем определении несовершеннолетнего и при любой системе обращения с несовершеннолетним правонарушителем. Правила во всех случаях должны применяться беспристрастно и без каких-либо различий.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Поэтому в правиле 2.1 подчеркивается важность применения Правил беспристрастно и без каких бы то ни было различий. Это правило следует формулировке принципа 2 </w:t>
      </w:r>
      <w:hyperlink r:id="rId5" w:history="1">
        <w:r w:rsidRPr="00F92377">
          <w:rPr>
            <w:rFonts w:ascii="Arial" w:eastAsia="Times New Roman" w:hAnsi="Arial" w:cs="Arial"/>
            <w:color w:val="333333"/>
            <w:sz w:val="18"/>
            <w:u w:val="single"/>
            <w:lang w:eastAsia="uk-UA"/>
          </w:rPr>
          <w:t>Декларации прав ребенка</w:t>
        </w:r>
      </w:hyperlink>
      <w:hyperlink r:id="rId6" w:anchor="a1" w:history="1">
        <w:r w:rsidRPr="00F92377">
          <w:rPr>
            <w:rFonts w:ascii="Arial" w:eastAsia="Times New Roman" w:hAnsi="Arial" w:cs="Arial"/>
            <w:color w:val="333333"/>
            <w:sz w:val="18"/>
            <w:u w:val="single"/>
            <w:vertAlign w:val="superscript"/>
            <w:lang w:eastAsia="uk-UA"/>
          </w:rPr>
          <w:t>1</w:t>
        </w:r>
      </w:hyperlink>
      <w:r w:rsidRPr="00F92377">
        <w:rPr>
          <w:rFonts w:ascii="Arial" w:eastAsia="Times New Roman" w:hAnsi="Arial" w:cs="Arial"/>
          <w:color w:val="333333"/>
          <w:sz w:val="18"/>
          <w:szCs w:val="18"/>
          <w:lang w:eastAsia="uk-UA"/>
        </w:rPr>
        <w:t>.</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2.2 дано определение понятий «несовершеннолетний» и «правонарушение» в качестве компонентов понятия «несовершеннолетний правонарушитель», являющегося основным предметом настоящих Минимальных стандартных правил (см., однако, также правила 3 и 4). Следует отметить, что возрастные пределы будут зависеть и будут прямо поставлены в зависимость от положений каждой правовой системы, тем самым полностью учитывая экономические, социальные, политические, культурные и правовые системы государств-членов. Поэтому понятие «несовершеннолетний» охватывает широкий возрастной диапазон от 7 до 18 лет или старше. Столь широкий диапазон представляется неизбежным ввиду многообразия национальных правовых систем и не умаляет значения настоящих Минимальных стандартных правил.</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2.3 говорится о необходимости разработки конкретного национального законодательства, направленного на оптимальное воплощение в жизнь настоящих Минимальных стандартных правил, как в законодательстве, так и на практике.</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3. Расширение сферы применения Правил</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3.1 Соответствующие положения Правил применяются не только к несовершеннолетним правонарушителям, но и к несовершеннолетним, которые могут быть привлечены к ответственности за любой конкретный поступок, не наказуемый в случае его совершения взрослым.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3.2 Следует прилагать усилия для распространения действия принципов, изложенных в Правилах, на всех несовершеннолетних, в отношении которых принимаются меры по социальному обеспечению и установлению опеки.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3.3 Следует прилагать также усилия для распространения действия принципов, изложенных в Правилах, на молодых совершеннолетних правонарушителей.</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3 предусматривается распространение действия средств защиты, предусмотренных в Минимальных стандартных правилах, касающихся отправления правосудия в отношении несовершеннолетних, на следующие случаи: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а</w:t>
      </w:r>
      <w:r w:rsidRPr="00F92377">
        <w:rPr>
          <w:rFonts w:ascii="Arial" w:eastAsia="Times New Roman" w:hAnsi="Arial" w:cs="Arial"/>
          <w:color w:val="333333"/>
          <w:sz w:val="18"/>
          <w:szCs w:val="18"/>
          <w:lang w:eastAsia="uk-UA"/>
        </w:rPr>
        <w:t>) предусмотренные в различных национальных правовых системах так называемые «статусные нарушения», когда круг действий, рассматриваемых в качестве правонарушений для несовершеннолетних, шире, чем для взрослых (например, прогулы, плохое поведение в школе и в семье, появление в нетрезвом состоянии в общественных местах и т. д.) (правило 3.1);</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b</w:t>
      </w:r>
      <w:r w:rsidRPr="00F92377">
        <w:rPr>
          <w:rFonts w:ascii="Arial" w:eastAsia="Times New Roman" w:hAnsi="Arial" w:cs="Arial"/>
          <w:color w:val="333333"/>
          <w:sz w:val="18"/>
          <w:szCs w:val="18"/>
          <w:lang w:eastAsia="uk-UA"/>
        </w:rPr>
        <w:t>) принятие мер по социальному обеспечению несовершеннолетних и установлению опеки (правило 3.2);</w:t>
      </w:r>
    </w:p>
    <w:p w:rsidR="00F92377" w:rsidRPr="00F92377" w:rsidRDefault="00F92377" w:rsidP="00F92377">
      <w:pPr>
        <w:shd w:val="clear" w:color="auto" w:fill="FFFFFF"/>
        <w:spacing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с</w:t>
      </w:r>
      <w:r w:rsidRPr="00F92377">
        <w:rPr>
          <w:rFonts w:ascii="Arial" w:eastAsia="Times New Roman" w:hAnsi="Arial" w:cs="Arial"/>
          <w:color w:val="333333"/>
          <w:sz w:val="18"/>
          <w:szCs w:val="18"/>
          <w:lang w:eastAsia="uk-UA"/>
        </w:rPr>
        <w:t>) процедуры обращения с молодыми совершеннолетними правонарушителями в зависимости, несомненно, от конкретного возрастного предела (правило 3.3).</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 xml:space="preserve">Представляется оправданным распространение Правил на эти три категории. Правило 3.1 предусматривает минимальные гарантии в этих областях, а правило 3.2 рассматривается в качестве желательного шага в </w:t>
      </w:r>
      <w:r w:rsidRPr="00F92377">
        <w:rPr>
          <w:rFonts w:ascii="Arial" w:eastAsia="Times New Roman" w:hAnsi="Arial" w:cs="Arial"/>
          <w:color w:val="333333"/>
          <w:sz w:val="18"/>
          <w:szCs w:val="18"/>
          <w:lang w:eastAsia="uk-UA"/>
        </w:rPr>
        <w:lastRenderedPageBreak/>
        <w:t>направлении более справедливого, равноправного и гуманного правосудия для всех несовершеннолетних, находящихся в конфликте с законом.</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4. Возраст уголовной ответственности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4.1 В правовых системах, в которых признается понятие возраста уголовной ответственности для несовершеннолетних, нижний предел такого возраста не должен устанавливаться на слишком низком возрастном уровне, учитывая аспекты эмоциональной, духовной и интеллектуальной зрелости.</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Минимальные пределы возраста уголовной ответственности весьма различны в зависимости от исторических и культурных особенностей. Использование современного подхода заключается в определении способности ребенка перенести связанные с уголовной ответственностью моральные и психологические аспекты, то есть в определении возможности привлечения ребенка, в силу индивидуальных особенностей его или ее восприятия и понимания, к ответственности за явно антиобщественное поведение. Если возрастной предел уголовной ответственности установлен на слишком низком уровне или вообще не установлен, понятие ответственности становится бессмысленным. В целом существует тесная взаимосвязь между понятием ответственности за правонарушение или преступное поведение и другими социальными правами и обязанностями (такими, как семейное положение, гражданское совершеннолетие и т. д.).</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Поэтому следует приложить усилия для установления разумного низшего возрастного предела, который мог бы применяться в международном масштабе.</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5. Цели правосудия в отношении несовершеннолетних</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5.1 Система правосудия в отношении несовершеннолетних направлена в первую очередь на обеспечение благополучия несовершеннолетнего и обеспечение того, чтобы любые меры воздействия на несовершеннолетних правонарушителей были всегда соизмеримы как с особенностями личности правонарушителя, так и с обстоятельствами правонарушения.</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5 отражены две важнейшие цели отправления правосудия в отношении несовершеннолетних. Первой целью является содействие благополучию несовершеннолетнего. Это — главная цель тех правовых систем, в которых делами несовершеннолетних правонарушителей занимаются суды по семейным делам или административные власти, но в то же время благополучию несовершеннолетнего должно уделяться особое внимание и в тех правовых системах, которые придерживаются модели уголовного преследования, что поможет избежать чисто карательных санкций. (См. также правило 14.)</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Второй целью является соблюдение «принципа соразмерности». Этот принцип широко известен как средство ограничения использования карательных санкций, выражающихся в основном в использовании принципа воздаяния по заслугам в соответствии с тяжестью правонарушения. Реакция на действия молодых правонарушителей должна основываться на учете не только тяжести правонарушения, но и особенностей личности. Индивидуальные особенности правонарушителя (например, социальный статус, положение в семье, ущерб, нанесенный правонарушителем, и прочие факторы, связанные с личностью правонарушителя) должны оказывать влияние на соразмерность ответных действий (например, принятие во внимание желания правонарушителя компенсировать ущерб, нанесенный жертве, или ее или его желание вести полноценную и полезную жизнь).</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Аналогично, ответные действия, направленные на обеспечение благополучия молодого правонарушителя, могут выходить за рамки необходимого и тем самым наносить ущерб основным правам конкретного молодого человека, как это наблюдается в некоторых системах правосудия в отношении несовершеннолетних. В этом случае следует также обеспечить соразмерность ответных действий с учетом особенностей обстоятельств правонарушения и личности правонарушителя, а также жертвы.</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По сути, в правиле 5 предусматриваются всего лишь справедливые ответные действия на любое конкретное правонарушение или преступление, совершаемое несовершеннолетним. Многообразие аспектов, которые сочетает в себе это правило, может способствовать применению двух подходов: новые и новаторские виды ответных действий столь же желательны, как и меры предосторожности в отношении любого неоправданного расширения сети официального социального контроля над несовершеннолетними.</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6. Объем дискреционных полномочий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6.1 В виду различных особых потребностей несовершеннолетних, а также многообразия имеющихся мер, следует предусмотреть соответствующий объем дискреционных полномочий на всех этапах судебного разбирательства и на различных уровнях отправления правосудия в отношении несовершеннолетних, в том числе при расследовании, рассмотрении дела в суде, вынесении судебного решения и осуществлении контроля за выполнением судебных решений.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6.2 Вместе с тем следует прилагать усилия для обеспечения соответствующей отчетности на всех этапах и уровнях при осуществлении любых дискреционных правомочий.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6.3 Лица, использующие дискреционные полномочия, должны обладать соответствующей квалификацией или подготовкой для их благоразумного применения в соответствии со своими функциями и полномочиями.</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lastRenderedPageBreak/>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правилах 6.1, 6.2 и 6.3 охватывается несколько важных аспектов эффективного, справедливого и гуманного отправления правосудия в отношении несовершеннолетних: необходимость разрешить применение дискреционных полномочий на всех основных уровнях отправления правосудия, с тем чтобы принимающие решения лица могли действовать в зависимости от каждого конкретного случая; и необходимость предусмотреть меры контроля и противодействия для предотвращения случаев неправильного использования дискреционных полномочий и для защиты прав молодого правонарушителя. Подотчетность и профессионализм являются наиболее важными средствами ограничения широкого использования дискреционных полномочий. Таким образом, в данном случае подчеркивается значение профессиональных навыков и подготовки как ценных средств обеспечения благоразумного использования дискреционных полномочий в делах несовершеннолетних правонарушителей. (См. также правила 1.6 и 2.2.) В этом контексте подчеркивается значение разработки конкретных руководящих принципов использования дискреционных полномочий и обеспечения систем пересмотра дел, апелляций и т. п., с тем чтобы обеспечить проверку решений и подотчетность. Подобные механизмы конкретно не оговариваются ввиду определенных трудностей, связанных с их включением в международные Минимальные стандартные правила, в которых невозможно учесть все различия в системах правосудия.</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7. Права несовершеннолетних</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7.1 Основные процессуальные гарантии, такие, как презумпция невиновности, право быть поставленным в известность о предъявленном обвинении, право на отказ давать показания, право иметь адвоката, право на присутствие родителей или опекуна, право на очную ставку со свидетелями и их перекрестный допрос и право на апелляцию в вышестоящую инстанцию должны быть гарантированы на всех этапах судебного разбирательства.</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7.1 подчеркиваются некоторые важные аспекты, которые являются существенными элементами справедливого и беспристрастного суда и признаны на международном уровне в существующих документах о правах человека (см. также правило 14). Положение о презумпции невиновности, например, содержится также в статье 11 </w:t>
      </w:r>
      <w:hyperlink r:id="rId7" w:history="1">
        <w:r w:rsidRPr="00F92377">
          <w:rPr>
            <w:rFonts w:ascii="Arial" w:eastAsia="Times New Roman" w:hAnsi="Arial" w:cs="Arial"/>
            <w:color w:val="333333"/>
            <w:sz w:val="18"/>
            <w:u w:val="single"/>
            <w:lang w:eastAsia="uk-UA"/>
          </w:rPr>
          <w:t>Всеобщей декларации прав человека</w:t>
        </w:r>
      </w:hyperlink>
      <w:hyperlink r:id="rId8" w:anchor="a2" w:history="1">
        <w:r w:rsidRPr="00F92377">
          <w:rPr>
            <w:rFonts w:ascii="Arial" w:eastAsia="Times New Roman" w:hAnsi="Arial" w:cs="Arial"/>
            <w:color w:val="333333"/>
            <w:sz w:val="18"/>
            <w:u w:val="single"/>
            <w:vertAlign w:val="superscript"/>
            <w:lang w:eastAsia="uk-UA"/>
          </w:rPr>
          <w:t>2</w:t>
        </w:r>
      </w:hyperlink>
      <w:r w:rsidRPr="00F92377">
        <w:rPr>
          <w:rFonts w:ascii="Arial" w:eastAsia="Times New Roman" w:hAnsi="Arial" w:cs="Arial"/>
          <w:color w:val="333333"/>
          <w:sz w:val="18"/>
          <w:szCs w:val="18"/>
          <w:lang w:eastAsia="uk-UA"/>
        </w:rPr>
        <w:t> и в статье 14.2 </w:t>
      </w:r>
      <w:hyperlink r:id="rId9" w:history="1">
        <w:r w:rsidRPr="00F92377">
          <w:rPr>
            <w:rFonts w:ascii="Arial" w:eastAsia="Times New Roman" w:hAnsi="Arial" w:cs="Arial"/>
            <w:color w:val="333333"/>
            <w:sz w:val="18"/>
            <w:u w:val="single"/>
            <w:lang w:eastAsia="uk-UA"/>
          </w:rPr>
          <w:t>Международного пакта о гражданских и политических правах</w:t>
        </w:r>
      </w:hyperlink>
      <w:hyperlink r:id="rId10" w:anchor="a3" w:history="1">
        <w:r w:rsidRPr="00F92377">
          <w:rPr>
            <w:rFonts w:ascii="Arial" w:eastAsia="Times New Roman" w:hAnsi="Arial" w:cs="Arial"/>
            <w:color w:val="333333"/>
            <w:sz w:val="18"/>
            <w:u w:val="single"/>
            <w:vertAlign w:val="superscript"/>
            <w:lang w:eastAsia="uk-UA"/>
          </w:rPr>
          <w:t>3</w:t>
        </w:r>
      </w:hyperlink>
      <w:r w:rsidRPr="00F92377">
        <w:rPr>
          <w:rFonts w:ascii="Arial" w:eastAsia="Times New Roman" w:hAnsi="Arial" w:cs="Arial"/>
          <w:color w:val="333333"/>
          <w:sz w:val="18"/>
          <w:szCs w:val="18"/>
          <w:lang w:eastAsia="uk-UA"/>
        </w:rPr>
        <w:t>.</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14 и далее настоящих Минимальных стандартных правил конкретно определяются вопросы, которые являются важными, в частности, при рассмотрении в суде дел несовершеннолетних, а в правиле 7.1 в общем виде подтверждаются самые основные процессуальные гарантии.</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8. Обеспечение конфиденциальности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8.1 Право несовершеннолетнего на конфиденциальность должно уважаться на всех этапах, чтобы избежать причинения ей или ему вреда из-за ненужной гласности или из-за ущерба репутации.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8.2 В принципе не должна публиковаться никакая информация, которая может привести к указанию на личность несовершеннолетнего правонарушителя.</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8 подчеркивается важность обеспечения права несовершеннолетнего на конфиденциальность. Молодежь особенно болезненно реагирует на нанесение ущерба репутации. Результаты криминологических исследований по вопросу о нанесении ущерба репутации свидетельствуют об отрицательных последствиях (различного рода), связанных с постоянным применением по отношению к молодым лицам таких определений, как «правонарушитель» или «преступник».</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8 подчеркивается также важность защиты несовершеннолетнего от негативных последствий опубликования в средствах массовой информации сообщений об их делах (например, имена подозреваемых или осужденных молодых правонарушителей). Интересы личности следует защищать и гарантировать, по крайней мере в принципе. (Общие положения, содержащиеся в правиле 8, конкретизируются далее в правиле 21.)</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9. Защитительная оговорка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9.1 Ничто в настоящих Правилах не должно толковаться как исключающее применение </w:t>
      </w:r>
      <w:hyperlink r:id="rId11" w:history="1">
        <w:r w:rsidRPr="00F92377">
          <w:rPr>
            <w:rFonts w:ascii="Arial" w:eastAsia="Times New Roman" w:hAnsi="Arial" w:cs="Arial"/>
            <w:color w:val="333333"/>
            <w:sz w:val="18"/>
            <w:u w:val="single"/>
            <w:lang w:eastAsia="uk-UA"/>
          </w:rPr>
          <w:t>Минимальных стандартных правил обращения с заключенными</w:t>
        </w:r>
      </w:hyperlink>
      <w:r w:rsidRPr="00F92377">
        <w:rPr>
          <w:rFonts w:ascii="Arial" w:eastAsia="Times New Roman" w:hAnsi="Arial" w:cs="Arial"/>
          <w:color w:val="333333"/>
          <w:sz w:val="18"/>
          <w:szCs w:val="18"/>
          <w:lang w:eastAsia="uk-UA"/>
        </w:rPr>
        <w:t>, принятых Организацией Объединенных Наций</w:t>
      </w:r>
      <w:hyperlink r:id="rId12" w:anchor="a4" w:history="1">
        <w:r w:rsidRPr="00F92377">
          <w:rPr>
            <w:rFonts w:ascii="Arial" w:eastAsia="Times New Roman" w:hAnsi="Arial" w:cs="Arial"/>
            <w:color w:val="333333"/>
            <w:sz w:val="18"/>
            <w:u w:val="single"/>
            <w:vertAlign w:val="superscript"/>
            <w:lang w:eastAsia="uk-UA"/>
          </w:rPr>
          <w:t>4</w:t>
        </w:r>
      </w:hyperlink>
      <w:r w:rsidRPr="00F92377">
        <w:rPr>
          <w:rFonts w:ascii="Arial" w:eastAsia="Times New Roman" w:hAnsi="Arial" w:cs="Arial"/>
          <w:color w:val="333333"/>
          <w:sz w:val="18"/>
          <w:szCs w:val="18"/>
          <w:lang w:eastAsia="uk-UA"/>
        </w:rPr>
        <w:t>, и других документов и стандартов в отношении прав человека, которые признаны международным сообществом и касаются защиты молодых лиц и заботы о них.</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Правило 9 предназначено для устранения любого недопонимания при толковании и претворении в жизнь настоящих Правил в соответствии с принципами, содержащимися в соответствующих существующих или разрабатываемых международных документах и стандартах о правах человека, таких как </w:t>
      </w:r>
      <w:hyperlink r:id="rId13" w:history="1">
        <w:r w:rsidRPr="00F92377">
          <w:rPr>
            <w:rFonts w:ascii="Arial" w:eastAsia="Times New Roman" w:hAnsi="Arial" w:cs="Arial"/>
            <w:color w:val="333333"/>
            <w:sz w:val="18"/>
            <w:u w:val="single"/>
            <w:lang w:eastAsia="uk-UA"/>
          </w:rPr>
          <w:t>Всеобщая декларация прав человека</w:t>
        </w:r>
      </w:hyperlink>
      <w:hyperlink r:id="rId14" w:anchor="a2" w:history="1">
        <w:r w:rsidRPr="00F92377">
          <w:rPr>
            <w:rFonts w:ascii="Arial" w:eastAsia="Times New Roman" w:hAnsi="Arial" w:cs="Arial"/>
            <w:color w:val="333333"/>
            <w:sz w:val="18"/>
            <w:u w:val="single"/>
            <w:vertAlign w:val="superscript"/>
            <w:lang w:eastAsia="uk-UA"/>
          </w:rPr>
          <w:t>2</w:t>
        </w:r>
      </w:hyperlink>
      <w:r w:rsidRPr="00F92377">
        <w:rPr>
          <w:rFonts w:ascii="Arial" w:eastAsia="Times New Roman" w:hAnsi="Arial" w:cs="Arial"/>
          <w:color w:val="333333"/>
          <w:sz w:val="18"/>
          <w:szCs w:val="18"/>
          <w:lang w:eastAsia="uk-UA"/>
        </w:rPr>
        <w:t>; </w:t>
      </w:r>
      <w:hyperlink r:id="rId15" w:history="1">
        <w:r w:rsidRPr="00F92377">
          <w:rPr>
            <w:rFonts w:ascii="Arial" w:eastAsia="Times New Roman" w:hAnsi="Arial" w:cs="Arial"/>
            <w:color w:val="333333"/>
            <w:sz w:val="18"/>
            <w:u w:val="single"/>
            <w:lang w:eastAsia="uk-UA"/>
          </w:rPr>
          <w:t>Международный пакт об экономических, социальных и культурных правах</w:t>
        </w:r>
      </w:hyperlink>
      <w:hyperlink r:id="rId16" w:anchor="a3" w:history="1">
        <w:r w:rsidRPr="00F92377">
          <w:rPr>
            <w:rFonts w:ascii="Arial" w:eastAsia="Times New Roman" w:hAnsi="Arial" w:cs="Arial"/>
            <w:color w:val="333333"/>
            <w:sz w:val="18"/>
            <w:u w:val="single"/>
            <w:vertAlign w:val="superscript"/>
            <w:lang w:eastAsia="uk-UA"/>
          </w:rPr>
          <w:t>3</w:t>
        </w:r>
      </w:hyperlink>
      <w:r w:rsidRPr="00F92377">
        <w:rPr>
          <w:rFonts w:ascii="Arial" w:eastAsia="Times New Roman" w:hAnsi="Arial" w:cs="Arial"/>
          <w:color w:val="333333"/>
          <w:sz w:val="18"/>
          <w:szCs w:val="18"/>
          <w:lang w:eastAsia="uk-UA"/>
        </w:rPr>
        <w:t> и Международный пакт о гражданских и политических правах</w:t>
      </w:r>
      <w:hyperlink r:id="rId17" w:anchor="a3" w:history="1">
        <w:r w:rsidRPr="00F92377">
          <w:rPr>
            <w:rFonts w:ascii="Arial" w:eastAsia="Times New Roman" w:hAnsi="Arial" w:cs="Arial"/>
            <w:color w:val="333333"/>
            <w:sz w:val="18"/>
            <w:u w:val="single"/>
            <w:vertAlign w:val="superscript"/>
            <w:lang w:eastAsia="uk-UA"/>
          </w:rPr>
          <w:t>3</w:t>
        </w:r>
      </w:hyperlink>
      <w:r w:rsidRPr="00F92377">
        <w:rPr>
          <w:rFonts w:ascii="Arial" w:eastAsia="Times New Roman" w:hAnsi="Arial" w:cs="Arial"/>
          <w:color w:val="333333"/>
          <w:sz w:val="18"/>
          <w:szCs w:val="18"/>
          <w:lang w:eastAsia="uk-UA"/>
        </w:rPr>
        <w:t>; </w:t>
      </w:r>
      <w:hyperlink r:id="rId18" w:history="1">
        <w:r w:rsidRPr="00F92377">
          <w:rPr>
            <w:rFonts w:ascii="Arial" w:eastAsia="Times New Roman" w:hAnsi="Arial" w:cs="Arial"/>
            <w:color w:val="333333"/>
            <w:sz w:val="18"/>
            <w:u w:val="single"/>
            <w:lang w:eastAsia="uk-UA"/>
          </w:rPr>
          <w:t>Декларация прав ребенка</w:t>
        </w:r>
      </w:hyperlink>
      <w:hyperlink r:id="rId19" w:anchor="a1" w:history="1">
        <w:r w:rsidRPr="00F92377">
          <w:rPr>
            <w:rFonts w:ascii="Arial" w:eastAsia="Times New Roman" w:hAnsi="Arial" w:cs="Arial"/>
            <w:color w:val="333333"/>
            <w:sz w:val="18"/>
            <w:u w:val="single"/>
            <w:vertAlign w:val="superscript"/>
            <w:lang w:eastAsia="uk-UA"/>
          </w:rPr>
          <w:t>1</w:t>
        </w:r>
      </w:hyperlink>
      <w:r w:rsidRPr="00F92377">
        <w:rPr>
          <w:rFonts w:ascii="Arial" w:eastAsia="Times New Roman" w:hAnsi="Arial" w:cs="Arial"/>
          <w:color w:val="333333"/>
          <w:sz w:val="18"/>
          <w:szCs w:val="18"/>
          <w:lang w:eastAsia="uk-UA"/>
        </w:rPr>
        <w:t> и проект конвенции о правах ребенка</w:t>
      </w:r>
      <w:hyperlink r:id="rId20" w:anchor="a5" w:history="1">
        <w:r w:rsidRPr="00F92377">
          <w:rPr>
            <w:rFonts w:ascii="Arial" w:eastAsia="Times New Roman" w:hAnsi="Arial" w:cs="Arial"/>
            <w:color w:val="333333"/>
            <w:sz w:val="18"/>
            <w:u w:val="single"/>
            <w:vertAlign w:val="superscript"/>
            <w:lang w:eastAsia="uk-UA"/>
          </w:rPr>
          <w:t>5</w:t>
        </w:r>
      </w:hyperlink>
      <w:r w:rsidRPr="00F92377">
        <w:rPr>
          <w:rFonts w:ascii="Arial" w:eastAsia="Times New Roman" w:hAnsi="Arial" w:cs="Arial"/>
          <w:color w:val="333333"/>
          <w:sz w:val="18"/>
          <w:szCs w:val="18"/>
          <w:lang w:eastAsia="uk-UA"/>
        </w:rPr>
        <w:t>. Следует учитывать, что применение настоящих Правил не наносит ущерба никаким аналогичным международным документам, которые могут содержать положения, имеющие более широкую сферу применения</w:t>
      </w:r>
      <w:hyperlink r:id="rId21" w:anchor="a4" w:history="1">
        <w:r w:rsidRPr="00F92377">
          <w:rPr>
            <w:rFonts w:ascii="Arial" w:eastAsia="Times New Roman" w:hAnsi="Arial" w:cs="Arial"/>
            <w:color w:val="333333"/>
            <w:sz w:val="18"/>
            <w:u w:val="single"/>
            <w:vertAlign w:val="superscript"/>
            <w:lang w:eastAsia="uk-UA"/>
          </w:rPr>
          <w:t>4</w:t>
        </w:r>
      </w:hyperlink>
      <w:r w:rsidRPr="00F92377">
        <w:rPr>
          <w:rFonts w:ascii="Arial" w:eastAsia="Times New Roman" w:hAnsi="Arial" w:cs="Arial"/>
          <w:color w:val="333333"/>
          <w:sz w:val="18"/>
          <w:szCs w:val="18"/>
          <w:lang w:eastAsia="uk-UA"/>
        </w:rPr>
        <w:t>. (См. также правило 27.)</w:t>
      </w:r>
    </w:p>
    <w:p w:rsidR="00F92377" w:rsidRPr="00F92377" w:rsidRDefault="00F92377" w:rsidP="00F92377">
      <w:pPr>
        <w:pBdr>
          <w:bottom w:val="dotted" w:sz="6" w:space="2" w:color="074BB0"/>
        </w:pBdr>
        <w:shd w:val="clear" w:color="auto" w:fill="F6F6F7"/>
        <w:spacing w:before="480" w:after="120" w:line="240" w:lineRule="auto"/>
        <w:outlineLvl w:val="2"/>
        <w:rPr>
          <w:rFonts w:ascii="Arial" w:eastAsia="Times New Roman" w:hAnsi="Arial" w:cs="Arial"/>
          <w:color w:val="000000"/>
          <w:sz w:val="21"/>
          <w:szCs w:val="21"/>
          <w:lang w:eastAsia="uk-UA"/>
        </w:rPr>
      </w:pPr>
      <w:r w:rsidRPr="00F92377">
        <w:rPr>
          <w:rFonts w:ascii="Arial" w:eastAsia="Times New Roman" w:hAnsi="Arial" w:cs="Arial"/>
          <w:color w:val="000000"/>
          <w:sz w:val="21"/>
          <w:szCs w:val="21"/>
          <w:lang w:eastAsia="uk-UA"/>
        </w:rPr>
        <w:lastRenderedPageBreak/>
        <w:t>Часть вторая. Расследование и судебное разбирательство</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10. Первоначальный контакт</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10.1 При задержании несовершеннолетнего ее или его родители или опекун немедленно ставятся в известность о таком задержании, а в случае невозможности такого немедленного уведомления, родители или опекун ставятся в известность позднее в кратчайшие возможные сроки.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10.2 Судья или другое компетентное должностное лицо или орган незамедлительно рассматривают вопрос об освобождении.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10.3 Контакты между органами по обеспечению правопорядка и несовершеннолетним правонарушителем осуществляются таким образом, чтобы уважать правовой статус несовершеннолетнего, содействовать благополучию несовершеннолетнего и избегать причинения ей или ему ущерба, с должным учетом обстоятельств дела.</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Правило 10.1 в принципе содержится в правиле 92 Минимальных стандартных правил обращения с заключенными</w:t>
      </w:r>
      <w:hyperlink r:id="rId22" w:anchor="a6" w:history="1">
        <w:r w:rsidRPr="00F92377">
          <w:rPr>
            <w:rFonts w:ascii="Arial" w:eastAsia="Times New Roman" w:hAnsi="Arial" w:cs="Arial"/>
            <w:color w:val="333333"/>
            <w:sz w:val="18"/>
            <w:u w:val="single"/>
            <w:vertAlign w:val="superscript"/>
            <w:lang w:eastAsia="uk-UA"/>
          </w:rPr>
          <w:t>6</w:t>
        </w:r>
      </w:hyperlink>
      <w:r w:rsidRPr="00F92377">
        <w:rPr>
          <w:rFonts w:ascii="Arial" w:eastAsia="Times New Roman" w:hAnsi="Arial" w:cs="Arial"/>
          <w:color w:val="333333"/>
          <w:sz w:val="18"/>
          <w:szCs w:val="18"/>
          <w:lang w:eastAsia="uk-UA"/>
        </w:rPr>
        <w:t>.</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Вопрос об освобождении (правило 10.2) рассматривается незамедлительно судьей или другим компетентным должностным лицом. Под последним понимается любое лицо или учреждение в самом широком смысле этого понятия, включая органы общины или полицейские власти, имеющие полномочия на освобождение арестованного лица. (См. также Международный пакт о гражданских и политических правах, статья 9.37</w:t>
      </w:r>
      <w:hyperlink r:id="rId23" w:anchor="a3" w:history="1">
        <w:r w:rsidRPr="00F92377">
          <w:rPr>
            <w:rFonts w:ascii="Arial" w:eastAsia="Times New Roman" w:hAnsi="Arial" w:cs="Arial"/>
            <w:color w:val="333333"/>
            <w:sz w:val="18"/>
            <w:u w:val="single"/>
            <w:vertAlign w:val="superscript"/>
            <w:lang w:eastAsia="uk-UA"/>
          </w:rPr>
          <w:t>3</w:t>
        </w:r>
      </w:hyperlink>
      <w:r w:rsidRPr="00F92377">
        <w:rPr>
          <w:rFonts w:ascii="Arial" w:eastAsia="Times New Roman" w:hAnsi="Arial" w:cs="Arial"/>
          <w:color w:val="333333"/>
          <w:sz w:val="18"/>
          <w:szCs w:val="18"/>
          <w:lang w:eastAsia="uk-UA"/>
        </w:rPr>
        <w:t>.)</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Правило 10.3 касается некоторых основных аспектов процедуры и поведения полицейских и других должностных лиц по обеспечению правопорядка в уголовных делах несовершеннолетних. Выражение «избегать причинения ущерба», по общему признанию, является весьма гибкой формулировкой и охватывает многие стороны возможных действий (например, грубые формы словесного обращения, физическое насилие, осуждение окружающих). Уже само участие в процессах правосудия в отношении несовершеннолетних может «причинять ущерб» несовершеннолетним, поэтому термин «избегать причинения ущерба» следует толковать широко как причинение прежде всего наименьшего ущерба несовершеннолетним, а также любого дополнительного или излишнего ущерба. Это особенно важно при первоначальном контакте с органами по обеспечению правопорядка, который может оказать весьма значительное влияние на отношение несовершеннолетнего к государству и обществу. Кроме того, успех любого дальнейшего вмешательства во многом зависит от подобных первоначальных контактов. При этом весьма важное значение имеет сострадание и мягкий, но требовательный подход.</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11. Прекращение дела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11.1 При рассмотрении дел несовершеннолетних правонарушителей следует по возможности не прибегать к официальному разбору дела компетентным органом власти, указанным в правиле 14.1, ниже.</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11.2 Полиция, прокуратура или другие органы, ведущие дела несовершеннолетних, должны быть уполномочены принимать решения по таким делам, по своему усмотрению, без проведения официального слушания дела, согласно критериям, установленным для этой цели в соответствующей правовой системе, а также согласно принципам, содержащимся в настоящих Правилах.</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11.3 Любое прекращение дела, связанное с его передачей в соответствующие общинные или другие службы, требует согласия несовершеннолетнего или его или ее родителей или опекуна, при условии, что такое решение о передаче дела подлежит пересмотру компетентным органом власти на основании заявления.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11.4 В целях содействия обеспечению дискреционного характера рассмотрения дел несовершеннолетних необходимо предусмотреть такие программы в рамках общины, как осуществление временного надзора и руководства, реституция и компенсация потерпевшим.</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Прекращение дела, в том числе изъятие его из ведения уголовного правосудия и часто передача вспомогательным службам общины, обычно практикуется на официальной и неофициальной основе во многих правовых системах. Эта практика позволяет ограничить негативные последствия процедуры отправления правосудия в отношении несовершеннолетних (например, клеймо судимости и приговора). Во многих случаях наилучшие результаты дает невмешательство со стороны компетентных органов власти. Таким образом, прекращение дела в самом начале без передачи его альтернативным (социальным) службам может дать оптимальный результат. Это особенно касается дел, не связанных с серьезным нарушением, и когда семья, школа или другие институты, осуществляющие неофициальный социальный контроль, уже приняли или намерены принять надлежащие конструктивные меры воздействия.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Как указывается в правиле 11.2, прекращение дела может быть осуществлено на любом этапе принятия решения — полицией, прокуратурой или другими учреждениями, например, судами, трибуналами, советами или комиссиями. Оно может быть осуществлено одним, несколькими или всеми органами власти, в соответствии с правилами и политикой соответствующих систем и с настоящими Правилами. Прекращение дела не должно ограничиваться лишь мелкими делами, и поэтому оно может быть важным средством.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lastRenderedPageBreak/>
        <w:t>В правиле 11.3 подчеркивается важное значение обязательного согласия несовершеннолетнего нарушителя (или его родителей, или опекуна) на рекомендованную форму прекращения дела. (Без такого согласия прекращение дела с передачей его службам общины противоречило бы Конвенции об упразднении принудительного труда</w:t>
      </w:r>
      <w:hyperlink r:id="rId24" w:anchor="a7" w:history="1">
        <w:r w:rsidRPr="00F92377">
          <w:rPr>
            <w:rFonts w:ascii="Arial" w:eastAsia="Times New Roman" w:hAnsi="Arial" w:cs="Arial"/>
            <w:color w:val="333333"/>
            <w:sz w:val="18"/>
            <w:u w:val="single"/>
            <w:vertAlign w:val="superscript"/>
            <w:lang w:eastAsia="uk-UA"/>
          </w:rPr>
          <w:t>7</w:t>
        </w:r>
      </w:hyperlink>
      <w:r w:rsidRPr="00F92377">
        <w:rPr>
          <w:rFonts w:ascii="Arial" w:eastAsia="Times New Roman" w:hAnsi="Arial" w:cs="Arial"/>
          <w:color w:val="333333"/>
          <w:sz w:val="18"/>
          <w:szCs w:val="18"/>
          <w:lang w:eastAsia="uk-UA"/>
        </w:rPr>
        <w:t>.) Однако такое согласие не должно восприниматься как нечто неоспоримое, поскольку оно может иногда быть дано несовершеннолетним в состоянии отчаяния. В правиле подчеркивается, что следует свести к минимуму возможность принуждения и запугивания на всех уровнях процесса прекращения дела. Несовершеннолетние не должны чувствовать, что на них оказывается давление (например, чтобы избежать судебного процесса), или подвергаться давлению с целью получения согласия на ту или иную форму прекращения дела. Поэтому предлагается разработать положение об объективной оценке уместности вынесения решений, касающихся молодых правонарушителей, «компетентным органом власти на основании заявления» («компетентный орган власти» может быть иным, нежели тот, о котором говорится в правиле 14).</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11.4 рекомендуется положение, содержащее эффективные альтернативы отправлению правосудия в отношении несовершеннолетних в форме прекращения дела с передачей его в общину. Особенно рекомендуются программы, в которых предусматривается урегулирование посредством реституции потерпевшему и принятия мер с целью исключения в будущем нарушений закона посредством осуществления временного надзора и руководства. С учетом конкретных обстоятельств прекращение дела было бы уместным даже в случае совершения более серьезных правонарушений (например, первое правонарушение, деяние, совершенное под давлением приятелей и т. д.).</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12. Специализация полиции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12.1 Для выполнения своих функций наилучшим образом служащие полиции, которые часто или исключительно занимаются несовершеннолетними или которые главным образом занимаются предупреждением преступности несовершеннолетних, должны пройти специальный инструктаж и подготовку. Для этой цели в крупных городах должны быть созданы специальные подразделения полиции.</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12 обращается внимание на необходимость специальной подготовки всех должностных лиц по обеспечению правопорядка, участвующих в отправлении правосудия в отношении несовершеннолетних. Поскольку полиция является для несовершеннолетних первым контактом с системой правосудия, крайне важно, чтобы она действовала квалифицированно и должным образом.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Хотя связь между урбанизацией и преступностью, несомненно, является сложной, рост преступности несовершеннолетних связывается с ростом крупных городов, в частности, с их быстрым и непланируемым ростом. Поэтому специализированные подразделения полиции являются необходимыми не только для обеспечения соблюдения конкретных принципов, изложенных в настоящем документе (например, правило 1.6), но в более общем плане для обеспечения эффективного предупреждения преступности несовершеннолетних и борьбы с ней, а также улучшения обращения с несовершеннолетними правонарушителями.</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13. Содержание под стражей до суда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13.1 Содержание под стражей до суда применяется лишь в качестве крайней меры и в течение кратчайшего периода времени.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13.2 Содержание под стражей до суда по возможности заменяется другими альтернативными мерами, такими, как постоянный надзор, активная воспитательная работа или помещение в семью или в воспитательное заведение или дом.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13.3 Несовершеннолетние, содержащиеся под стражей до суда, пользуются всеми правами и гарантиями Минимальных стандартных правил обращения с заключенными, принятых Организацией Объединенных Наций</w:t>
      </w:r>
      <w:hyperlink r:id="rId25" w:anchor="a4" w:history="1">
        <w:r w:rsidRPr="00F92377">
          <w:rPr>
            <w:rFonts w:ascii="Arial" w:eastAsia="Times New Roman" w:hAnsi="Arial" w:cs="Arial"/>
            <w:color w:val="333333"/>
            <w:sz w:val="18"/>
            <w:u w:val="single"/>
            <w:vertAlign w:val="superscript"/>
            <w:lang w:eastAsia="uk-UA"/>
          </w:rPr>
          <w:t>4</w:t>
        </w:r>
      </w:hyperlink>
      <w:r w:rsidRPr="00F92377">
        <w:rPr>
          <w:rFonts w:ascii="Arial" w:eastAsia="Times New Roman" w:hAnsi="Arial" w:cs="Arial"/>
          <w:color w:val="333333"/>
          <w:sz w:val="18"/>
          <w:szCs w:val="18"/>
          <w:lang w:eastAsia="uk-UA"/>
        </w:rPr>
        <w:t>.</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13.4 Несовершеннолетние, содержащиеся под стражей до суда, должны содержаться отдельно от взрослых, а также в специальном учреждении или в специальном отделении учреждения, где содержатся также и взрослые.</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13.5 Во время пребывания под стражей несовершеннолетним должен обеспечиваться уход, защита и вся необходимая индивидуальная помощь — социальная, психологическая, медицинская, физическая, а также помощь в области образования и профессиональной подготовки, — которые им могут потребоваться ввиду их возраста, пола и личности.</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Нельзя недооценивать опасности «уголовного влияния» на несовершеннолетних, содержащихся под стражей до суда. Поэтому важно подчеркнуть необходимость применения альтернативных мер. В связи с этим в правиле 13.1 поощряется разработка новых и новаторских мер, с тем чтобы избежать такого содержания под стражей до суда в интересах благополучия несовершеннолетнего.</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Несовершеннолетним, содержащимся под стражей до суда, должны предоставляться все права и гарантии, предусмотренные Минимальными стандартными правилами обращения с заключенными, а также Международным пактом о гражданских и политических правах</w:t>
      </w:r>
      <w:hyperlink r:id="rId26" w:anchor="a3" w:history="1">
        <w:r w:rsidRPr="00F92377">
          <w:rPr>
            <w:rFonts w:ascii="Arial" w:eastAsia="Times New Roman" w:hAnsi="Arial" w:cs="Arial"/>
            <w:color w:val="333333"/>
            <w:sz w:val="18"/>
            <w:u w:val="single"/>
            <w:vertAlign w:val="superscript"/>
            <w:lang w:eastAsia="uk-UA"/>
          </w:rPr>
          <w:t>3</w:t>
        </w:r>
      </w:hyperlink>
      <w:r w:rsidRPr="00F92377">
        <w:rPr>
          <w:rFonts w:ascii="Arial" w:eastAsia="Times New Roman" w:hAnsi="Arial" w:cs="Arial"/>
          <w:color w:val="333333"/>
          <w:sz w:val="18"/>
          <w:szCs w:val="18"/>
          <w:lang w:eastAsia="uk-UA"/>
        </w:rPr>
        <w:t>, в частности в статье 9 и пунктах 2 </w:t>
      </w:r>
      <w:r w:rsidRPr="00F92377">
        <w:rPr>
          <w:rFonts w:ascii="Arial" w:eastAsia="Times New Roman" w:hAnsi="Arial" w:cs="Arial"/>
          <w:i/>
          <w:iCs/>
          <w:color w:val="333333"/>
          <w:sz w:val="18"/>
          <w:lang w:eastAsia="uk-UA"/>
        </w:rPr>
        <w:t>b</w:t>
      </w:r>
      <w:r w:rsidRPr="00F92377">
        <w:rPr>
          <w:rFonts w:ascii="Arial" w:eastAsia="Times New Roman" w:hAnsi="Arial" w:cs="Arial"/>
          <w:color w:val="333333"/>
          <w:sz w:val="18"/>
          <w:szCs w:val="18"/>
          <w:lang w:eastAsia="uk-UA"/>
        </w:rPr>
        <w:t> и 3 статьи 10.</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lastRenderedPageBreak/>
        <w:t>Правило 13.4 не препятствует принятию государствами иных мер против отрицательного влияния взрослых правонарушителей, которые по крайней мере столь же эффективны, как и меры, упомянутые в данном правиле.</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Различные виды помощи, которые могут потребоваться, перечислены с тем, чтобы привлечь внимание к широкому кругу особых потребностей молодых людей, содержащихся под стражей (например, юношей или девушек, наркоманов, алкоголиков, умственно больных, психологически травмированных, например в связи с арестом, и т. п.).</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Различные физические и психологические особенности молодых людей, содержащихся под стражей, могут служить основанием для классификации мер, на основании которых некоторые молодые люди содержатся под стражей до суда отдельно, что дает возможность избежать нанесения им ущерба и успешнее оказать необходимую помощь.</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Шестой Конгресс Организации Объединенных Наций по предупреждению преступности и обращению с правонарушителями в своей резолюции 4</w:t>
      </w:r>
      <w:hyperlink r:id="rId27" w:anchor="a8" w:history="1">
        <w:r w:rsidRPr="00F92377">
          <w:rPr>
            <w:rFonts w:ascii="Arial" w:eastAsia="Times New Roman" w:hAnsi="Arial" w:cs="Arial"/>
            <w:color w:val="333333"/>
            <w:sz w:val="18"/>
            <w:u w:val="single"/>
            <w:vertAlign w:val="superscript"/>
            <w:lang w:eastAsia="uk-UA"/>
          </w:rPr>
          <w:t>8</w:t>
        </w:r>
      </w:hyperlink>
      <w:r w:rsidRPr="00F92377">
        <w:rPr>
          <w:rFonts w:ascii="Arial" w:eastAsia="Times New Roman" w:hAnsi="Arial" w:cs="Arial"/>
          <w:color w:val="333333"/>
          <w:sz w:val="18"/>
          <w:szCs w:val="18"/>
          <w:lang w:eastAsia="uk-UA"/>
        </w:rPr>
        <w:t> о стандартах правосудия в отношении несовершеннолетних указал, что Правила, в частности, должны отражать основной принцип, заключающийся в том, что содержание под стражей до суда должно использоваться лишь в качестве крайней меры, что несовершеннолетних правонарушителей нельзя содержать в учреждении, где они могут подвергаться отрицательному влиянию со стороны взрослых лиц, находящихся под арестом, и что следует постоянно учитывать потребности, характерные для их уровня развития.</w:t>
      </w:r>
    </w:p>
    <w:p w:rsidR="00F92377" w:rsidRPr="00F92377" w:rsidRDefault="00F92377" w:rsidP="00F92377">
      <w:pPr>
        <w:pBdr>
          <w:bottom w:val="dotted" w:sz="6" w:space="2" w:color="074BB0"/>
        </w:pBdr>
        <w:shd w:val="clear" w:color="auto" w:fill="F6F6F7"/>
        <w:spacing w:before="480" w:after="120" w:line="240" w:lineRule="auto"/>
        <w:outlineLvl w:val="2"/>
        <w:rPr>
          <w:rFonts w:ascii="Arial" w:eastAsia="Times New Roman" w:hAnsi="Arial" w:cs="Arial"/>
          <w:color w:val="000000"/>
          <w:sz w:val="21"/>
          <w:szCs w:val="21"/>
          <w:lang w:eastAsia="uk-UA"/>
        </w:rPr>
      </w:pPr>
      <w:r w:rsidRPr="00F92377">
        <w:rPr>
          <w:rFonts w:ascii="Arial" w:eastAsia="Times New Roman" w:hAnsi="Arial" w:cs="Arial"/>
          <w:color w:val="000000"/>
          <w:sz w:val="21"/>
          <w:szCs w:val="21"/>
          <w:lang w:eastAsia="uk-UA"/>
        </w:rPr>
        <w:t>Часть третья. Вынесение судебного решения и выбор мер воздействия</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14. Компетентный орган власти для вынесения судебного решения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14.1 Если дело несовершеннолетнего правонарушителя не было прекращено (согласно правилу 11), ею или им занимается компетентный орган власти (суд, трибунал, совет, комиссия и т. д.) в соответствии с принципами справедливого и беспристрастного суда.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14.2 Судебное разбирательство должно отвечать интересам несовершеннолетнего и осуществляться в атмосфере понимания, что позволит несовершеннолетнему участвовать в нем и свободно излагать свою точку зрения.</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Трудно дать определение компетентного органа или лица, в котором бы универсально описывался орган власти, выносящий судебное решение. Под компетентным органом власти подразумеваются и те лица, которые руководят судом или трибуналом (один судья или несколько членов), включая судей-профессионалов и лиц, не являющихся юристами, а также административные комиссии (например, в шотландской и скандинавской системах) или другие менее официальные органы общин и учреждения судебного характера, занимающиеся разрешением конфликтов.</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Процедура обращения с несовершеннолетними правонарушителями должна в любом случае следовать минимальным стандартам, которые применимы почти повсеместно ко всем обвиняемым в соответствии с процедурой, известной как «надлежащая законная процедура». В соответствии с надлежащей процедурой, понятие «справедливый и беспристрастный суд» включает такие основные гарантии, как презумпция невиновности, представление и изучение доказательств, общеправовая защита, право на отказ давать показания, право на последнее слово во время слушания дела, право на апелляцию и т. д. (см. также правило 7.1).</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15. Адвокат, родители и опекуны</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15.1 В ходе всего судебного разбирательства несовершеннолетний имеет право быть представленным его или ее адвокатом или право на обращение за бесплатной правовой помощью, если предоставление такой помощи предусмотрено в этой стране законодательством.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15.2 Родители или опекун имеют право участвовать в судебном разбирательстве, и компетентный орган власти может потребовать их присутствия в интересах несовершеннолетнего. Однако компетентный орган власти может отказать им в таком участии, если имеются основания полагать, что это необходимо в интересах несовершеннолетнего.</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15.1 используется терминология, аналогичная терминологии правила 93 </w:t>
      </w:r>
      <w:hyperlink r:id="rId28" w:history="1">
        <w:r w:rsidRPr="00F92377">
          <w:rPr>
            <w:rFonts w:ascii="Arial" w:eastAsia="Times New Roman" w:hAnsi="Arial" w:cs="Arial"/>
            <w:color w:val="333333"/>
            <w:sz w:val="18"/>
            <w:u w:val="single"/>
            <w:lang w:eastAsia="uk-UA"/>
          </w:rPr>
          <w:t>Минимальных стандартных правил обращения с заключенными</w:t>
        </w:r>
      </w:hyperlink>
      <w:hyperlink r:id="rId29" w:anchor="a4" w:history="1">
        <w:r w:rsidRPr="00F92377">
          <w:rPr>
            <w:rFonts w:ascii="Arial" w:eastAsia="Times New Roman" w:hAnsi="Arial" w:cs="Arial"/>
            <w:color w:val="333333"/>
            <w:sz w:val="18"/>
            <w:u w:val="single"/>
            <w:vertAlign w:val="superscript"/>
            <w:lang w:eastAsia="uk-UA"/>
          </w:rPr>
          <w:t>4</w:t>
        </w:r>
      </w:hyperlink>
      <w:r w:rsidRPr="00F92377">
        <w:rPr>
          <w:rFonts w:ascii="Arial" w:eastAsia="Times New Roman" w:hAnsi="Arial" w:cs="Arial"/>
          <w:color w:val="333333"/>
          <w:sz w:val="18"/>
          <w:szCs w:val="18"/>
          <w:lang w:eastAsia="uk-UA"/>
        </w:rPr>
        <w:t>. Если положение об адвокате и бесплатной правовой помощи необходимо для обеспечения несовершеннолетнему правовой помощи, то право родителей или опекуна на участие, как указывается в правиле 15.2, следует рассматривать как оказание общей психологической и эмоциональной поддержки несовершеннолетнему, как функцию, которая должна выполняться в течение всего разбирательства.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 xml:space="preserve">Для компетентных органов власти, которые стремятся надлежащим образом рассмотреть дело, видимо было бы полезным, в частности, сотрудничество со стороны юридических представителей несовершеннолетнего (или какого-либо другого помощника, которому несовершеннолетний может верить и действительно верит). Это положение может утратить свое значение в том случае, когда присутствие родителей или опекунов при </w:t>
      </w:r>
      <w:r w:rsidRPr="00F92377">
        <w:rPr>
          <w:rFonts w:ascii="Arial" w:eastAsia="Times New Roman" w:hAnsi="Arial" w:cs="Arial"/>
          <w:color w:val="333333"/>
          <w:sz w:val="18"/>
          <w:szCs w:val="18"/>
          <w:lang w:eastAsia="uk-UA"/>
        </w:rPr>
        <w:lastRenderedPageBreak/>
        <w:t>слушании дела оказывает отрицательное влияние, например, если они проявляют враждебное отношение к несовершеннолетнему; поэтому должна быть предусмотрена возможность отказа им в таком участии.</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16. Доклады о результатах социального обследования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16.1 Во всех случаях, за исключением мелких правонарушений, до вынесения компетентным органом власти окончательного решения, предшествующего приговору, необходимо тщательно изучить окружение и условия, в которых живет несовершеннолетний, или обстоятельства, при которых было совершено правонарушение, с тем чтобы содействовать вынесению компетентным органом власти разумного судебного решения по делу.</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Доклады о результатах социального обследования (социальные заключения или доклады до вынесения приговора) оказывают незаменимую помощь в большинстве случаев, связанных с судебным разбирательством дел несовершеннолетних. Компетентные органы должны знать о соответствующих фактах, касающихся несовершеннолетнего, например, о социальном и семейном окружении несовершеннолетнего, его учебе в школе, воспитании и т. д. Для этой цели в некоторых судебных системах используются специальные социальные службы или сотрудники, выполняющие эти функции для судов или комиссий. Эти функции могут выполняться другими сотрудниками, в том числе должностными лицами системы пробации. Поэтому в данном правиле указывается на необходимость соответствующих социальных служб для квалифицированной подготовки докладов о результатах социального обследования.</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17. Руководящие принципы вынесения судебного решения и выбор мер воздействия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17.1 При выборе мер воздействия компетентный орган должен руководствоваться следующими принципами: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а</w:t>
      </w:r>
      <w:r w:rsidRPr="00F92377">
        <w:rPr>
          <w:rFonts w:ascii="Arial" w:eastAsia="Times New Roman" w:hAnsi="Arial" w:cs="Arial"/>
          <w:color w:val="333333"/>
          <w:sz w:val="18"/>
          <w:szCs w:val="18"/>
          <w:lang w:eastAsia="uk-UA"/>
        </w:rPr>
        <w:t>) меры воздействия всегда должны быть соизмеримы не только с обстоятельствами и тяжестью правонарушения, но и с положением и потребностями несовершеннолетнего, а также с потребностями общества;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b</w:t>
      </w:r>
      <w:r w:rsidRPr="00F92377">
        <w:rPr>
          <w:rFonts w:ascii="Arial" w:eastAsia="Times New Roman" w:hAnsi="Arial" w:cs="Arial"/>
          <w:color w:val="333333"/>
          <w:sz w:val="18"/>
          <w:szCs w:val="18"/>
          <w:lang w:eastAsia="uk-UA"/>
        </w:rPr>
        <w:t>) решения об ограничении личной свободы несовершеннолетнего должны приниматься только после тщательного рассмотрения вопроса и ограничение должно быть по возможности сведено до минимума;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с</w:t>
      </w:r>
      <w:r w:rsidRPr="00F92377">
        <w:rPr>
          <w:rFonts w:ascii="Arial" w:eastAsia="Times New Roman" w:hAnsi="Arial" w:cs="Arial"/>
          <w:color w:val="333333"/>
          <w:sz w:val="18"/>
          <w:szCs w:val="18"/>
          <w:lang w:eastAsia="uk-UA"/>
        </w:rPr>
        <w:t>) несовершеннолетнего правонарушителя не следует лишать личной свободы, если только он не признан виновным в совершении серьезного деяния с применением насилия против другого лица или в неоднократном совершении других серьезных правонарушений, а также в отсутствие другой соответствующей меры воздействия;</w:t>
      </w:r>
    </w:p>
    <w:p w:rsidR="00F92377" w:rsidRPr="00F92377" w:rsidRDefault="00F92377" w:rsidP="00F92377">
      <w:pPr>
        <w:shd w:val="clear" w:color="auto" w:fill="FFFFFF"/>
        <w:spacing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d</w:t>
      </w:r>
      <w:r w:rsidRPr="00F92377">
        <w:rPr>
          <w:rFonts w:ascii="Arial" w:eastAsia="Times New Roman" w:hAnsi="Arial" w:cs="Arial"/>
          <w:color w:val="333333"/>
          <w:sz w:val="18"/>
          <w:szCs w:val="18"/>
          <w:lang w:eastAsia="uk-UA"/>
        </w:rPr>
        <w:t>) при рассмотрении дела несовершеннолетнего вопрос о его или ее благополучии должен служить определяющим фактором.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17.2 Ни за какое преступление, совершенное несовершеннолетним, смертный приговор не выносится.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17.3 Несовершеннолетние не подвергаются телесным наказаниям.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17.4 Компетентный орган власти должен иметь право в любой момент прекратить судебное разбирательство.</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Главная трудность в разработке руководящих принципов для вынесения судебного решения в отношении молодых людей проистекает из неразрешенных противоречий философского характера между:</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а</w:t>
      </w:r>
      <w:r w:rsidRPr="00F92377">
        <w:rPr>
          <w:rFonts w:ascii="Arial" w:eastAsia="Times New Roman" w:hAnsi="Arial" w:cs="Arial"/>
          <w:color w:val="333333"/>
          <w:sz w:val="18"/>
          <w:szCs w:val="18"/>
          <w:lang w:eastAsia="uk-UA"/>
        </w:rPr>
        <w:t>) перевоспитанием и воздаянием по заслугам;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b</w:t>
      </w:r>
      <w:r w:rsidRPr="00F92377">
        <w:rPr>
          <w:rFonts w:ascii="Arial" w:eastAsia="Times New Roman" w:hAnsi="Arial" w:cs="Arial"/>
          <w:color w:val="333333"/>
          <w:sz w:val="18"/>
          <w:szCs w:val="18"/>
          <w:lang w:eastAsia="uk-UA"/>
        </w:rPr>
        <w:t>) помощью и пресечением и наказанием;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с</w:t>
      </w:r>
      <w:r w:rsidRPr="00F92377">
        <w:rPr>
          <w:rFonts w:ascii="Arial" w:eastAsia="Times New Roman" w:hAnsi="Arial" w:cs="Arial"/>
          <w:color w:val="333333"/>
          <w:sz w:val="18"/>
          <w:szCs w:val="18"/>
          <w:lang w:eastAsia="uk-UA"/>
        </w:rPr>
        <w:t>) мерой воздействия с учетом исключительных обстоятельств конкретного дела и мерой воздействия в интересах защиты общества в целом;</w:t>
      </w:r>
    </w:p>
    <w:p w:rsidR="00F92377" w:rsidRPr="00F92377" w:rsidRDefault="00F92377" w:rsidP="00F92377">
      <w:pPr>
        <w:shd w:val="clear" w:color="auto" w:fill="FFFFFF"/>
        <w:spacing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d</w:t>
      </w:r>
      <w:r w:rsidRPr="00F92377">
        <w:rPr>
          <w:rFonts w:ascii="Arial" w:eastAsia="Times New Roman" w:hAnsi="Arial" w:cs="Arial"/>
          <w:color w:val="333333"/>
          <w:sz w:val="18"/>
          <w:szCs w:val="18"/>
          <w:lang w:eastAsia="uk-UA"/>
        </w:rPr>
        <w:t>) общим предупреждением и индивидуальным наказанием.</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Противоречие между этими подходами четче проявляется в отношении дел несовершеннолетних, чем в отношении дел взрослых. В силу разнообразия причин и следствий, являющихся отличительной чертой дел несовершеннолетних, между этими альтернативами возникает сложная взаимозависимость.</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Минимальные стандартные правила отправления правосудия в отношении несовершеннолетних не предписывают применение какого-либо подхода, а скорее указывают на подход, в наибольшей степени отвечающий международно признанным принципам. Поэтому основные положения, изложенные в правиле 17.1, в частности в подпунктах </w:t>
      </w:r>
      <w:r w:rsidRPr="00F92377">
        <w:rPr>
          <w:rFonts w:ascii="Arial" w:eastAsia="Times New Roman" w:hAnsi="Arial" w:cs="Arial"/>
          <w:i/>
          <w:iCs/>
          <w:color w:val="333333"/>
          <w:sz w:val="18"/>
          <w:lang w:eastAsia="uk-UA"/>
        </w:rPr>
        <w:t>a</w:t>
      </w:r>
      <w:r w:rsidRPr="00F92377">
        <w:rPr>
          <w:rFonts w:ascii="Arial" w:eastAsia="Times New Roman" w:hAnsi="Arial" w:cs="Arial"/>
          <w:color w:val="333333"/>
          <w:sz w:val="18"/>
          <w:szCs w:val="18"/>
          <w:lang w:eastAsia="uk-UA"/>
        </w:rPr>
        <w:t> и </w:t>
      </w:r>
      <w:r w:rsidRPr="00F92377">
        <w:rPr>
          <w:rFonts w:ascii="Arial" w:eastAsia="Times New Roman" w:hAnsi="Arial" w:cs="Arial"/>
          <w:i/>
          <w:iCs/>
          <w:color w:val="333333"/>
          <w:sz w:val="18"/>
          <w:lang w:eastAsia="uk-UA"/>
        </w:rPr>
        <w:t>с</w:t>
      </w:r>
      <w:r w:rsidRPr="00F92377">
        <w:rPr>
          <w:rFonts w:ascii="Arial" w:eastAsia="Times New Roman" w:hAnsi="Arial" w:cs="Arial"/>
          <w:color w:val="333333"/>
          <w:sz w:val="18"/>
          <w:szCs w:val="18"/>
          <w:lang w:eastAsia="uk-UA"/>
        </w:rPr>
        <w:t>, следует воспринимать главным образом как практические руководящие принципы, которые должны служить общей отправной точкой; при учете их соответствующими органами (см. также правило 5) они могли бы в значительной степени способствовать обеспечению защиты основных прав несовершеннолетних правонарушителей, в особенности основных прав на развитие личности и образование.</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lastRenderedPageBreak/>
        <w:t>В подпункте </w:t>
      </w:r>
      <w:r w:rsidRPr="00F92377">
        <w:rPr>
          <w:rFonts w:ascii="Arial" w:eastAsia="Times New Roman" w:hAnsi="Arial" w:cs="Arial"/>
          <w:i/>
          <w:iCs/>
          <w:color w:val="333333"/>
          <w:sz w:val="18"/>
          <w:lang w:eastAsia="uk-UA"/>
        </w:rPr>
        <w:t>b</w:t>
      </w:r>
      <w:r w:rsidRPr="00F92377">
        <w:rPr>
          <w:rFonts w:ascii="Arial" w:eastAsia="Times New Roman" w:hAnsi="Arial" w:cs="Arial"/>
          <w:color w:val="333333"/>
          <w:sz w:val="18"/>
          <w:szCs w:val="18"/>
          <w:lang w:eastAsia="uk-UA"/>
        </w:rPr>
        <w:t> правила 17.1 указывается, что подход, имеющий чисто карающий характер, является неприемлемым. Если в делах взрослых и также, возможно, в случае серьезных правонарушений несовершеннолетних заслуженное наказание и карающие санкции могут рассматриваться как в определенной степени обоснованные, то в делах несовершеннолетних над такими соображениями должны всегда преобладать интересы обеспечения благополучия и будущего молодых людей.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Согласуясь с резолюцией 8 шестого Конгресса Организации Объединенных Наций</w:t>
      </w:r>
      <w:hyperlink r:id="rId30" w:anchor="a8" w:history="1">
        <w:r w:rsidRPr="00F92377">
          <w:rPr>
            <w:rFonts w:ascii="Arial" w:eastAsia="Times New Roman" w:hAnsi="Arial" w:cs="Arial"/>
            <w:color w:val="333333"/>
            <w:sz w:val="18"/>
            <w:u w:val="single"/>
            <w:vertAlign w:val="superscript"/>
            <w:lang w:eastAsia="uk-UA"/>
          </w:rPr>
          <w:t>8</w:t>
        </w:r>
      </w:hyperlink>
      <w:r w:rsidRPr="00F92377">
        <w:rPr>
          <w:rFonts w:ascii="Arial" w:eastAsia="Times New Roman" w:hAnsi="Arial" w:cs="Arial"/>
          <w:color w:val="333333"/>
          <w:sz w:val="18"/>
          <w:szCs w:val="18"/>
          <w:lang w:eastAsia="uk-UA"/>
        </w:rPr>
        <w:t>, подпункт </w:t>
      </w:r>
      <w:r w:rsidRPr="00F92377">
        <w:rPr>
          <w:rFonts w:ascii="Arial" w:eastAsia="Times New Roman" w:hAnsi="Arial" w:cs="Arial"/>
          <w:i/>
          <w:iCs/>
          <w:color w:val="333333"/>
          <w:sz w:val="18"/>
          <w:lang w:eastAsia="uk-UA"/>
        </w:rPr>
        <w:t>b</w:t>
      </w:r>
      <w:r w:rsidRPr="00F92377">
        <w:rPr>
          <w:rFonts w:ascii="Arial" w:eastAsia="Times New Roman" w:hAnsi="Arial" w:cs="Arial"/>
          <w:color w:val="333333"/>
          <w:sz w:val="18"/>
          <w:szCs w:val="18"/>
          <w:lang w:eastAsia="uk-UA"/>
        </w:rPr>
        <w:t>правила 17.1 способствует максимально широкому применению альтернатив заключению, учитывая необходимость удовлетворения конкретных потребностей молодежи. Поэтому следует полностью использовать весь диапазон существующих альтернативных мер и разрабатывать новые альтернативные меры с учетом требований безопасности общества. Максимально широко должна применяться система пробации путем вынесения условных приговоров, отсрочки их исполнения, постановлений советов и других видов решений.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Подпункт </w:t>
      </w:r>
      <w:r w:rsidRPr="00F92377">
        <w:rPr>
          <w:rFonts w:ascii="Arial" w:eastAsia="Times New Roman" w:hAnsi="Arial" w:cs="Arial"/>
          <w:i/>
          <w:iCs/>
          <w:color w:val="333333"/>
          <w:sz w:val="18"/>
          <w:lang w:eastAsia="uk-UA"/>
        </w:rPr>
        <w:t>с</w:t>
      </w:r>
      <w:r w:rsidRPr="00F92377">
        <w:rPr>
          <w:rFonts w:ascii="Arial" w:eastAsia="Times New Roman" w:hAnsi="Arial" w:cs="Arial"/>
          <w:color w:val="333333"/>
          <w:sz w:val="18"/>
          <w:szCs w:val="18"/>
          <w:lang w:eastAsia="uk-UA"/>
        </w:rPr>
        <w:t> правила 17.1 отвечает одному из руководящих принципов резолюции 4 шестого Конгресса</w:t>
      </w:r>
      <w:hyperlink r:id="rId31" w:anchor="a8" w:history="1">
        <w:r w:rsidRPr="00F92377">
          <w:rPr>
            <w:rFonts w:ascii="Arial" w:eastAsia="Times New Roman" w:hAnsi="Arial" w:cs="Arial"/>
            <w:color w:val="333333"/>
            <w:sz w:val="18"/>
            <w:u w:val="single"/>
            <w:vertAlign w:val="superscript"/>
            <w:lang w:eastAsia="uk-UA"/>
          </w:rPr>
          <w:t>8</w:t>
        </w:r>
      </w:hyperlink>
      <w:r w:rsidRPr="00F92377">
        <w:rPr>
          <w:rFonts w:ascii="Arial" w:eastAsia="Times New Roman" w:hAnsi="Arial" w:cs="Arial"/>
          <w:color w:val="333333"/>
          <w:sz w:val="18"/>
          <w:szCs w:val="18"/>
          <w:lang w:eastAsia="uk-UA"/>
        </w:rPr>
        <w:t>, направленного на то, чтобы избегать заключения несовершеннолетних в тюрьму, за исключением тех случаев, когда нет другой соответствующей меры, которая обеспечивала бы безопасность общества.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Положение о запрещении смертной казни в правиле 17.2 отвечает статье 6.5 </w:t>
      </w:r>
      <w:hyperlink r:id="rId32" w:history="1">
        <w:r w:rsidRPr="00F92377">
          <w:rPr>
            <w:rFonts w:ascii="Arial" w:eastAsia="Times New Roman" w:hAnsi="Arial" w:cs="Arial"/>
            <w:color w:val="333333"/>
            <w:sz w:val="18"/>
            <w:u w:val="single"/>
            <w:lang w:eastAsia="uk-UA"/>
          </w:rPr>
          <w:t>Международного пакта о гражданских и политических правах</w:t>
        </w:r>
      </w:hyperlink>
      <w:hyperlink r:id="rId33" w:anchor="a3" w:history="1">
        <w:r w:rsidRPr="00F92377">
          <w:rPr>
            <w:rFonts w:ascii="Arial" w:eastAsia="Times New Roman" w:hAnsi="Arial" w:cs="Arial"/>
            <w:color w:val="333333"/>
            <w:sz w:val="18"/>
            <w:u w:val="single"/>
            <w:vertAlign w:val="superscript"/>
            <w:lang w:eastAsia="uk-UA"/>
          </w:rPr>
          <w:t>3</w:t>
        </w:r>
      </w:hyperlink>
      <w:r w:rsidRPr="00F92377">
        <w:rPr>
          <w:rFonts w:ascii="Arial" w:eastAsia="Times New Roman" w:hAnsi="Arial" w:cs="Arial"/>
          <w:color w:val="333333"/>
          <w:sz w:val="18"/>
          <w:szCs w:val="18"/>
          <w:lang w:eastAsia="uk-UA"/>
        </w:rPr>
        <w:t>.</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Положение о запрещении телесных наказаний отвечает статье 7 Международного пакта о гражданских и политических правах</w:t>
      </w:r>
      <w:hyperlink r:id="rId34" w:anchor="a3" w:history="1">
        <w:r w:rsidRPr="00F92377">
          <w:rPr>
            <w:rFonts w:ascii="Arial" w:eastAsia="Times New Roman" w:hAnsi="Arial" w:cs="Arial"/>
            <w:color w:val="333333"/>
            <w:sz w:val="18"/>
            <w:u w:val="single"/>
            <w:vertAlign w:val="superscript"/>
            <w:lang w:eastAsia="uk-UA"/>
          </w:rPr>
          <w:t>3</w:t>
        </w:r>
      </w:hyperlink>
      <w:r w:rsidRPr="00F92377">
        <w:rPr>
          <w:rFonts w:ascii="Arial" w:eastAsia="Times New Roman" w:hAnsi="Arial" w:cs="Arial"/>
          <w:color w:val="333333"/>
          <w:sz w:val="18"/>
          <w:szCs w:val="18"/>
          <w:lang w:eastAsia="uk-UA"/>
        </w:rPr>
        <w:t> и Декларации о защите всех лиц от пыток и других жестоких, бесчеловечных или унижающих достоинство видов обращения и наказания</w:t>
      </w:r>
      <w:hyperlink r:id="rId35" w:anchor="a9" w:history="1">
        <w:r w:rsidRPr="00F92377">
          <w:rPr>
            <w:rFonts w:ascii="Arial" w:eastAsia="Times New Roman" w:hAnsi="Arial" w:cs="Arial"/>
            <w:color w:val="333333"/>
            <w:sz w:val="18"/>
            <w:u w:val="single"/>
            <w:vertAlign w:val="superscript"/>
            <w:lang w:eastAsia="uk-UA"/>
          </w:rPr>
          <w:t>9</w:t>
        </w:r>
      </w:hyperlink>
      <w:r w:rsidRPr="00F92377">
        <w:rPr>
          <w:rFonts w:ascii="Arial" w:eastAsia="Times New Roman" w:hAnsi="Arial" w:cs="Arial"/>
          <w:color w:val="333333"/>
          <w:sz w:val="18"/>
          <w:szCs w:val="18"/>
          <w:lang w:eastAsia="uk-UA"/>
        </w:rPr>
        <w:t>, а также </w:t>
      </w:r>
      <w:hyperlink r:id="rId36" w:history="1">
        <w:r w:rsidRPr="00F92377">
          <w:rPr>
            <w:rFonts w:ascii="Arial" w:eastAsia="Times New Roman" w:hAnsi="Arial" w:cs="Arial"/>
            <w:color w:val="333333"/>
            <w:sz w:val="18"/>
            <w:u w:val="single"/>
            <w:lang w:eastAsia="uk-UA"/>
          </w:rPr>
          <w:t>Конвенции против пыток и других жестоких, бесчеловечных или унижающих достоинство видов обращения и наказания</w:t>
        </w:r>
      </w:hyperlink>
      <w:hyperlink r:id="rId37" w:anchor="a10" w:history="1">
        <w:r w:rsidRPr="00F92377">
          <w:rPr>
            <w:rFonts w:ascii="Arial" w:eastAsia="Times New Roman" w:hAnsi="Arial" w:cs="Arial"/>
            <w:color w:val="333333"/>
            <w:sz w:val="18"/>
            <w:u w:val="single"/>
            <w:vertAlign w:val="superscript"/>
            <w:lang w:eastAsia="uk-UA"/>
          </w:rPr>
          <w:t>10</w:t>
        </w:r>
      </w:hyperlink>
      <w:r w:rsidRPr="00F92377">
        <w:rPr>
          <w:rFonts w:ascii="Arial" w:eastAsia="Times New Roman" w:hAnsi="Arial" w:cs="Arial"/>
          <w:color w:val="333333"/>
          <w:sz w:val="18"/>
          <w:szCs w:val="18"/>
          <w:lang w:eastAsia="uk-UA"/>
        </w:rPr>
        <w:t> и проекту конвенции о правах ребенка</w:t>
      </w:r>
      <w:hyperlink r:id="rId38" w:anchor="a5" w:history="1">
        <w:r w:rsidRPr="00F92377">
          <w:rPr>
            <w:rFonts w:ascii="Arial" w:eastAsia="Times New Roman" w:hAnsi="Arial" w:cs="Arial"/>
            <w:color w:val="333333"/>
            <w:sz w:val="18"/>
            <w:u w:val="single"/>
            <w:vertAlign w:val="superscript"/>
            <w:lang w:eastAsia="uk-UA"/>
          </w:rPr>
          <w:t>5</w:t>
        </w:r>
      </w:hyperlink>
      <w:r w:rsidRPr="00F92377">
        <w:rPr>
          <w:rFonts w:ascii="Arial" w:eastAsia="Times New Roman" w:hAnsi="Arial" w:cs="Arial"/>
          <w:color w:val="333333"/>
          <w:sz w:val="18"/>
          <w:szCs w:val="18"/>
          <w:lang w:eastAsia="uk-UA"/>
        </w:rPr>
        <w:t>.</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Право на прекращение в любой момент судебного разбирательства (правило 17.4) является отличительной чертой, присущей практике обращения с несовершеннолетними правонарушителями в отличие от взрослых. В любое время компетентному органу власти могут стать известны обстоятельства, которые позволят считать полное прекращение вмешательства наилучшим решением по делу.</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18. Различные меры воздействия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18.1 В цепях обеспечения большей гибкости и во избежание по возможности заключения в исправительные учреждения компетентный орган власти должен располагать при разрешении дела широким комплексом мер воздействия. Такими мерами, которые могут осуществляться в сочетании друг с другом, являются: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а</w:t>
      </w:r>
      <w:r w:rsidRPr="00F92377">
        <w:rPr>
          <w:rFonts w:ascii="Arial" w:eastAsia="Times New Roman" w:hAnsi="Arial" w:cs="Arial"/>
          <w:color w:val="333333"/>
          <w:sz w:val="18"/>
          <w:szCs w:val="18"/>
          <w:lang w:eastAsia="uk-UA"/>
        </w:rPr>
        <w:t>) постановления об опеке, руководстве и надзоре;</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b</w:t>
      </w:r>
      <w:r w:rsidRPr="00F92377">
        <w:rPr>
          <w:rFonts w:ascii="Arial" w:eastAsia="Times New Roman" w:hAnsi="Arial" w:cs="Arial"/>
          <w:color w:val="333333"/>
          <w:sz w:val="18"/>
          <w:szCs w:val="18"/>
          <w:lang w:eastAsia="uk-UA"/>
        </w:rPr>
        <w:t>) пробация;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с</w:t>
      </w:r>
      <w:r w:rsidRPr="00F92377">
        <w:rPr>
          <w:rFonts w:ascii="Arial" w:eastAsia="Times New Roman" w:hAnsi="Arial" w:cs="Arial"/>
          <w:color w:val="333333"/>
          <w:sz w:val="18"/>
          <w:szCs w:val="18"/>
          <w:lang w:eastAsia="uk-UA"/>
        </w:rPr>
        <w:t>) постановления о работе на благо общины;</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d</w:t>
      </w:r>
      <w:r w:rsidRPr="00F92377">
        <w:rPr>
          <w:rFonts w:ascii="Arial" w:eastAsia="Times New Roman" w:hAnsi="Arial" w:cs="Arial"/>
          <w:color w:val="333333"/>
          <w:sz w:val="18"/>
          <w:szCs w:val="18"/>
          <w:lang w:eastAsia="uk-UA"/>
        </w:rPr>
        <w:t>) финансовые наказания, компенсация и реституция;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е</w:t>
      </w:r>
      <w:r w:rsidRPr="00F92377">
        <w:rPr>
          <w:rFonts w:ascii="Arial" w:eastAsia="Times New Roman" w:hAnsi="Arial" w:cs="Arial"/>
          <w:color w:val="333333"/>
          <w:sz w:val="18"/>
          <w:szCs w:val="18"/>
          <w:lang w:eastAsia="uk-UA"/>
        </w:rPr>
        <w:t>) постановления о принятии промежуточных и других мер;</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f</w:t>
      </w:r>
      <w:r w:rsidRPr="00F92377">
        <w:rPr>
          <w:rFonts w:ascii="Arial" w:eastAsia="Times New Roman" w:hAnsi="Arial" w:cs="Arial"/>
          <w:color w:val="333333"/>
          <w:sz w:val="18"/>
          <w:szCs w:val="18"/>
          <w:lang w:eastAsia="uk-UA"/>
        </w:rPr>
        <w:t>) постановления об участии в групповой психотерапии и других подобных мероприятиях;</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g</w:t>
      </w:r>
      <w:r w:rsidRPr="00F92377">
        <w:rPr>
          <w:rFonts w:ascii="Arial" w:eastAsia="Times New Roman" w:hAnsi="Arial" w:cs="Arial"/>
          <w:color w:val="333333"/>
          <w:sz w:val="18"/>
          <w:szCs w:val="18"/>
          <w:lang w:eastAsia="uk-UA"/>
        </w:rPr>
        <w:t>) постановления, касающиеся передачи на воспитание, места проживания или других воспитательных мер;</w:t>
      </w:r>
    </w:p>
    <w:p w:rsidR="00F92377" w:rsidRPr="00F92377" w:rsidRDefault="00F92377" w:rsidP="00F92377">
      <w:pPr>
        <w:shd w:val="clear" w:color="auto" w:fill="FFFFFF"/>
        <w:spacing w:line="240" w:lineRule="auto"/>
        <w:jc w:val="both"/>
        <w:rPr>
          <w:rFonts w:ascii="Arial" w:eastAsia="Times New Roman" w:hAnsi="Arial" w:cs="Arial"/>
          <w:color w:val="333333"/>
          <w:sz w:val="18"/>
          <w:szCs w:val="18"/>
          <w:lang w:eastAsia="uk-UA"/>
        </w:rPr>
      </w:pPr>
      <w:r w:rsidRPr="00F92377">
        <w:rPr>
          <w:rFonts w:ascii="Arial" w:eastAsia="Times New Roman" w:hAnsi="Arial" w:cs="Arial"/>
          <w:i/>
          <w:iCs/>
          <w:color w:val="333333"/>
          <w:sz w:val="18"/>
          <w:lang w:eastAsia="uk-UA"/>
        </w:rPr>
        <w:t>h</w:t>
      </w:r>
      <w:r w:rsidRPr="00F92377">
        <w:rPr>
          <w:rFonts w:ascii="Arial" w:eastAsia="Times New Roman" w:hAnsi="Arial" w:cs="Arial"/>
          <w:color w:val="333333"/>
          <w:sz w:val="18"/>
          <w:szCs w:val="18"/>
          <w:lang w:eastAsia="uk-UA"/>
        </w:rPr>
        <w:t>) другие соответствующие постановления.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18.2 Ни один несовершеннолетний не может быть изъят из-под надзора родителей, частично или полностью, если это не оправдано обстоятельствами ее или его дела.</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18.2 делается попытка перечислить некоторые важные меры воздействия и санкции, которые успешно применяются в различных правовых системах. В целом они перспективны и заслуживают применения и дальнейшего развития. В этом правиле не указываются какие-либо требования в отношении персонала, поскольку соответствующего персонала может не быть в некоторых регионах; в этих регионах можно разрабатывать и применять меры, для осуществления которых требуется меньше персонала.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Для примеров, указанных в правиле 18.1, общим является, прежде всего, опора на общину как на инструмент эффективного осуществления альтернативных решений. Перевоспитание с привлечением общины представляет собой традиционную меру, которая заключает в себе многие аспекты. В связи с этим соответствующим властям следует поощрять предоставление общинами своих услуг.</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18.2 указывается на важную роль семьи, которая, в соответствии со статьей 10.1 Международного пакта об экономических, социальных и культурных правах, является «естественной и основной ячейкой общества»</w:t>
      </w:r>
      <w:hyperlink r:id="rId39" w:anchor="a3" w:history="1">
        <w:r w:rsidRPr="00F92377">
          <w:rPr>
            <w:rFonts w:ascii="Arial" w:eastAsia="Times New Roman" w:hAnsi="Arial" w:cs="Arial"/>
            <w:color w:val="333333"/>
            <w:sz w:val="18"/>
            <w:u w:val="single"/>
            <w:vertAlign w:val="superscript"/>
            <w:lang w:eastAsia="uk-UA"/>
          </w:rPr>
          <w:t>3</w:t>
        </w:r>
      </w:hyperlink>
      <w:r w:rsidRPr="00F92377">
        <w:rPr>
          <w:rFonts w:ascii="Arial" w:eastAsia="Times New Roman" w:hAnsi="Arial" w:cs="Arial"/>
          <w:color w:val="333333"/>
          <w:sz w:val="18"/>
          <w:szCs w:val="18"/>
          <w:lang w:eastAsia="uk-UA"/>
        </w:rPr>
        <w:t xml:space="preserve">. В рамках семьи родители имеют не только право, но и обязаны обеспечить уход и надзор за своими </w:t>
      </w:r>
      <w:r w:rsidRPr="00F92377">
        <w:rPr>
          <w:rFonts w:ascii="Arial" w:eastAsia="Times New Roman" w:hAnsi="Arial" w:cs="Arial"/>
          <w:color w:val="333333"/>
          <w:sz w:val="18"/>
          <w:szCs w:val="18"/>
          <w:lang w:eastAsia="uk-UA"/>
        </w:rPr>
        <w:lastRenderedPageBreak/>
        <w:t>детьми. Поэтому в соответствии с правилом 18.2 разлучение детей и родителей является крайней мерой. К ней можно прибегать лишь в тех случаях, когда факты дела оправдывают этот серьезный шаг (например, жестокое обращение с детьми).</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19. Минимальное использование мер, предусматривающих заключение в исправительные учреждения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19.1 Помещение несовершеннолетнего в какое-либо исправительное учреждение всегда должно быть крайней мерой, применяемой в течение минимально необходимого срока.</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Прогрессивная криминология выступает за предпочтительное использование мер, не предусматривающих содержания в исправительных учреждениях. Установлено, что в лучшем случае имеется незначительная разница в результатах, достигнутых посредством содержания в исправительных учреждениях по сравнению с результатами, достигнутыми без применения этой меры. Многочисленные неблагоприятные последствия для личности, которые, по-видимому, являются неизбежными при любом помещении в исправительное учреждение, совершенно очевидно не могут быть компенсированы исправительной работой. Это особенно справедливо в отношении несовершеннолетних, которые подвержены отрицательным влияниям. Кроме того, негативные последствия, связанные не только с лишением свободы, но и с изоляцией от общества, сказываются на несовершеннолетнем в большей степени, чем на взрослом, поскольку они затрагивают несовершеннолетнего на начальной стадии его развития.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Цель правила 19 заключается в ограничении содержания в исправительных учреждениях в двух отношениях: количественном («крайняя мера») и временном («минимального срока»). В правиле 19 отражен один из руководящих принципов резолюции 4 шестого Конгресса Организации Объединенных Наций</w:t>
      </w:r>
      <w:hyperlink r:id="rId40" w:anchor="a8" w:history="1">
        <w:r w:rsidRPr="00F92377">
          <w:rPr>
            <w:rFonts w:ascii="Arial" w:eastAsia="Times New Roman" w:hAnsi="Arial" w:cs="Arial"/>
            <w:color w:val="333333"/>
            <w:sz w:val="18"/>
            <w:u w:val="single"/>
            <w:vertAlign w:val="superscript"/>
            <w:lang w:eastAsia="uk-UA"/>
          </w:rPr>
          <w:t>8</w:t>
        </w:r>
      </w:hyperlink>
      <w:r w:rsidRPr="00F92377">
        <w:rPr>
          <w:rFonts w:ascii="Arial" w:eastAsia="Times New Roman" w:hAnsi="Arial" w:cs="Arial"/>
          <w:color w:val="333333"/>
          <w:sz w:val="18"/>
          <w:szCs w:val="18"/>
          <w:lang w:eastAsia="uk-UA"/>
        </w:rPr>
        <w:t>: несовершеннолетний нарушитель не должен заключаться в тюрьму, за исключением тех случаев, когда не имеется других соответствующих мер. Поэтому в данном правиле содержится призыв к тому, чтобы в тех случаях, когда несовершеннолетний должен быть помещен в исправительное учреждение, лишение свободы должно быть ограничено минимально необходимым сроком и при этом должны быть осуществлены специальные организационные мероприятия по содержанию несовершеннолетнего и учтены различные типы правонарушителей, правонарушений и учреждений. Фактически, предпочтение должно отдаваться «открытым» учреждениям перед «закрытыми». Кроме того, все учреждения должны быть исправительного или образовательного типа, а не тюремного.</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20. Устранение ненужных задержек</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20.1 Любое дело несовершеннолетнего с самого начала следует вести быстро, не допуская каких-либо ненужных задержек.</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Быстрое осуществление официального судопроизводства по делам несовершеннолетних является первоочередной задачей. В противном случае все положительное, что могло бы быть достигнуто в ходе разбирательства и вынесения решения, может оказаться под угрозой. Со временем несовершеннолетнему будет все труднее, а иногда и невозможно логически и психологически увязать процедуру судебного разбирательства и вынесение решения с самим правонарушением.</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21. Протоколы</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21.1 Материалы дел несовершеннолетних правонарушителей должны храниться строго конфиденциально и не должны передаваться третьим лицам. Доступ к таким материалам должен быть ограничен кругом лиц, непосредственно занимающимся разбором данного дела, или других лиц, имеющих соответствующие полномочия.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21.2 Материалы дел несовершеннолетних правонарушителей не должны использоваться при разборе дел взрослых правонарушителей в последующих случаях, связанных с тем же правонарушителем.</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этом правиле делается попытка установить равновесие между конфликтующими интересами в связи с протоколами или материалами дел, а именно: интересами органов полиции, прокуратуры и других органов с целью совершенствования выполнения функций надзора и интересами несовершеннолетнего правонарушителя (см. также правило 8). Выражение «другие лица, имеющие соответствующие полномочия» обычно подразумевает, среди прочих лиц, исследователей.</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22. Необходимость профессионализма и подготовки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22.1 Для обеспечения и поддержания необходимой профессиональной компетентности всего персонала, занимающегося делами несовершеннолетних, следует использовать профессиональную подготовку, обучение в процессе работы, курсы переподготовки и другие соответствующие виды обучения.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22.2 Персонал органов правосудия по делам несовершеннолетних должен подбираться с учетом различных категорий несовершеннолетних, которые вступают в контакт с системой правосудия по делам несовершеннолетних. Следует приложить усилия для обеспечения справедливого представительства женщин и национальных меньшинств в органах правосудия по делам несовершеннолетних.</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lastRenderedPageBreak/>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Лица, в компетенцию которых входит принятие решений в отношении несовершеннолетних, могут иметь самую различную квалификацию (магистры в Соединенном Королевстве Великобритании и Северной Ирландии и в регионах, находящихся под влиянием системы общего права; судьи, имеющие юридическое образование, в странах, использующих римское право, и в регионах, на которые распространяется их влияние; выборные или назначаемые лица, не являющиеся профессионалами-юристами, или юристы в других странах, члены общинных советов и т. д.). Все эти лица должны иметь минимальную подготовку в области права, социологии, психологии, криминологии и наук о поведении. Это требование имеет столь же важное значение, как и организационная специализация и независимость компетентного органа власти.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Вряд ли возможно требовать от работников социального сектора и должностных лиц системы пробации профессиональной специализации в качестве предварительного условия для передачи им любых функций в отношении несовершеннолетних правонарушителей. Поэтому профессиональный инструктаж в ходе их работы является минимальной необходимой квалификацией.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Профессиональная квалификация является необходимым элементом для обеспечения беспристрастного и эффективного отправления правосудия в отношении несовершеннолетних. Поэтому необходимо улучшить набор, продвижение и профессиональную подготовку персонала и обеспечить его необходимыми средствами, которые позволяли бы ему соответствующим образом выполнять свои функции.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цепях достижения беспристрастности при отправлении правосудия в отношении несовершеннолетних следует избегать любой дискриминации на политической, социальной, половой, расовой, религиозной, культурной или любой другой основе в отношении отбора, назначения и продвижения персонала в системе правосудия по делам несовершеннолетних. Такова была рекомендация шестого Конгресса. Кроме того, шестой Конгресс призвал государства-члены обеспечить справедливое и равноправное положение женщин-сотрудников в системе уголовного правосудия и рекомендовал принять специальные меры для набора, подготовки и содействия продвижению женщин-сотрудников в системе правосудия в отношении несовершеннолетних</w:t>
      </w:r>
      <w:hyperlink r:id="rId41" w:anchor="a11" w:history="1">
        <w:r w:rsidRPr="00F92377">
          <w:rPr>
            <w:rFonts w:ascii="Arial" w:eastAsia="Times New Roman" w:hAnsi="Arial" w:cs="Arial"/>
            <w:color w:val="333333"/>
            <w:sz w:val="18"/>
            <w:u w:val="single"/>
            <w:vertAlign w:val="superscript"/>
            <w:lang w:eastAsia="uk-UA"/>
          </w:rPr>
          <w:t>11</w:t>
        </w:r>
      </w:hyperlink>
      <w:r w:rsidRPr="00F92377">
        <w:rPr>
          <w:rFonts w:ascii="Arial" w:eastAsia="Times New Roman" w:hAnsi="Arial" w:cs="Arial"/>
          <w:color w:val="333333"/>
          <w:sz w:val="18"/>
          <w:szCs w:val="18"/>
          <w:lang w:eastAsia="uk-UA"/>
        </w:rPr>
        <w:t>.</w:t>
      </w:r>
    </w:p>
    <w:p w:rsidR="00F92377" w:rsidRPr="00F92377" w:rsidRDefault="00F92377" w:rsidP="00F92377">
      <w:pPr>
        <w:pBdr>
          <w:bottom w:val="dotted" w:sz="6" w:space="2" w:color="074BB0"/>
        </w:pBdr>
        <w:shd w:val="clear" w:color="auto" w:fill="F6F6F7"/>
        <w:spacing w:before="480" w:after="120" w:line="240" w:lineRule="auto"/>
        <w:outlineLvl w:val="2"/>
        <w:rPr>
          <w:rFonts w:ascii="Arial" w:eastAsia="Times New Roman" w:hAnsi="Arial" w:cs="Arial"/>
          <w:color w:val="000000"/>
          <w:sz w:val="21"/>
          <w:szCs w:val="21"/>
          <w:lang w:eastAsia="uk-UA"/>
        </w:rPr>
      </w:pPr>
      <w:r w:rsidRPr="00F92377">
        <w:rPr>
          <w:rFonts w:ascii="Arial" w:eastAsia="Times New Roman" w:hAnsi="Arial" w:cs="Arial"/>
          <w:color w:val="000000"/>
          <w:sz w:val="21"/>
          <w:szCs w:val="21"/>
          <w:lang w:eastAsia="uk-UA"/>
        </w:rPr>
        <w:t>Часть четвертая. Обращение с правонарушителями вне исправительных учреждений</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23. Эффективное исполнение решения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23.1 Необходимо предусмотреть соответствующие положения об исполнении постановлений компетентного органа, указанного в правиле 14.1, выше, самим этим органом или каким-либо другим органом, в зависимости от обстоятельств.</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23.2 Такие положения должны включать право компетентного органа периодически вносить, по мере необходимости, изменения в постановления при условии, что характер таких изменений будет определяться в соответствии с принципами, содержащимися в этих Правилах.</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Решение по делам несовершеннолетних, в большей степени чем по делам взрослых, может оказать влияние на жизнь правонарушителя в течение длительного периода времени. Поэтому важное значение имеет надзор за исполнением решения со стороны компетентного органа власти или независимого органа (комиссии по делам поручительства, службы системы пробации, учреждения социального обеспечения молодежи и других), полномочия которого аналогичны полномочиям компетентного органа власти, принявшего первоначальное решение по делу. С этой целью в некоторых странах учреждена должность </w:t>
      </w:r>
      <w:r w:rsidRPr="00F92377">
        <w:rPr>
          <w:rFonts w:ascii="Arial" w:eastAsia="Times New Roman" w:hAnsi="Arial" w:cs="Arial"/>
          <w:i/>
          <w:iCs/>
          <w:color w:val="333333"/>
          <w:sz w:val="18"/>
          <w:lang w:eastAsia="uk-UA"/>
        </w:rPr>
        <w:t>juge de l'execution des peines</w:t>
      </w:r>
      <w:r w:rsidRPr="00F92377">
        <w:rPr>
          <w:rFonts w:ascii="Arial" w:eastAsia="Times New Roman" w:hAnsi="Arial" w:cs="Arial"/>
          <w:color w:val="333333"/>
          <w:sz w:val="18"/>
          <w:szCs w:val="18"/>
          <w:lang w:eastAsia="uk-UA"/>
        </w:rPr>
        <w:t>.</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Состав, полномочия и функции этого органа власти должны носить гибкий характер; в правиле 23 дано их общее описание, с тем чтобы обеспечить их широкую приемлемость.</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24. Предоставление необходимой помощи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24.1 Следует прилагать усилия для предоставления несовершеннолетним на всех этапах судебного разбирательства необходимой помощи, такой как обеспечение жильем, получение образования или профессиональной подготовки, трудоустройство или любая другая помощь, которая может оказаться полезной и практичной, в целях содействия процессу перевоспитания.</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Содействие благополучию несовершеннолетних имеет первостепенное значение. Поэтому в правиле 24 подчеркивается важность создания необходимых условий и предоставления услуг и другой необходимой помощи для обеспечения интересов несовершеннолетних в течение всего процесса перевоспитания.</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25. Мобилизация добровольцев и других общинных служб</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25.1 Следует привлекать добровольцев, добровольные организации, местные учреждения и другие общинные службы, с тем чтобы они внесли свой действенный вклад в перевоспитание несовершеннолетних в рамках общины, и насколько это возможно, в рамках семьи.</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 xml:space="preserve">Это правило отражает необходимость ориентации всей работы с несовершеннолетними правонарушителями на перевоспитание. Для эффективного выполнения указаний компетентных органов власти сотрудничество с </w:t>
      </w:r>
      <w:r w:rsidRPr="00F92377">
        <w:rPr>
          <w:rFonts w:ascii="Arial" w:eastAsia="Times New Roman" w:hAnsi="Arial" w:cs="Arial"/>
          <w:color w:val="333333"/>
          <w:sz w:val="18"/>
          <w:szCs w:val="18"/>
          <w:lang w:eastAsia="uk-UA"/>
        </w:rPr>
        <w:lastRenderedPageBreak/>
        <w:t>общиной имеет исключительно важное значение. В частности, добровольцы и добровольные службы оказывают чрезвычайно ценные услуги, однако в настоящее время их возможности используются недостаточно. В некоторых случаях значительную помощь могут оказывать бывшие правонарушители (в том числе бывшие наркоманы).</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Правило 25 строится на принципах, которые изложены в правилах 1.1–1.6, и аналогично соответствующим положениям </w:t>
      </w:r>
      <w:hyperlink r:id="rId42" w:history="1">
        <w:r w:rsidRPr="00F92377">
          <w:rPr>
            <w:rFonts w:ascii="Arial" w:eastAsia="Times New Roman" w:hAnsi="Arial" w:cs="Arial"/>
            <w:color w:val="333333"/>
            <w:sz w:val="18"/>
            <w:u w:val="single"/>
            <w:lang w:eastAsia="uk-UA"/>
          </w:rPr>
          <w:t>Международного пакта о гражданских и политических правах</w:t>
        </w:r>
      </w:hyperlink>
      <w:hyperlink r:id="rId43" w:anchor="a3" w:history="1">
        <w:r w:rsidRPr="00F92377">
          <w:rPr>
            <w:rFonts w:ascii="Arial" w:eastAsia="Times New Roman" w:hAnsi="Arial" w:cs="Arial"/>
            <w:color w:val="333333"/>
            <w:sz w:val="18"/>
            <w:u w:val="single"/>
            <w:vertAlign w:val="superscript"/>
            <w:lang w:eastAsia="uk-UA"/>
          </w:rPr>
          <w:t>3</w:t>
        </w:r>
      </w:hyperlink>
      <w:r w:rsidRPr="00F92377">
        <w:rPr>
          <w:rFonts w:ascii="Arial" w:eastAsia="Times New Roman" w:hAnsi="Arial" w:cs="Arial"/>
          <w:color w:val="333333"/>
          <w:sz w:val="18"/>
          <w:szCs w:val="18"/>
          <w:lang w:eastAsia="uk-UA"/>
        </w:rPr>
        <w:t>.</w:t>
      </w:r>
    </w:p>
    <w:p w:rsidR="00F92377" w:rsidRPr="00F92377" w:rsidRDefault="00F92377" w:rsidP="00F92377">
      <w:pPr>
        <w:pBdr>
          <w:bottom w:val="dotted" w:sz="6" w:space="2" w:color="074BB0"/>
        </w:pBdr>
        <w:shd w:val="clear" w:color="auto" w:fill="F6F6F7"/>
        <w:spacing w:before="480" w:after="120" w:line="240" w:lineRule="auto"/>
        <w:outlineLvl w:val="2"/>
        <w:rPr>
          <w:rFonts w:ascii="Arial" w:eastAsia="Times New Roman" w:hAnsi="Arial" w:cs="Arial"/>
          <w:color w:val="000000"/>
          <w:sz w:val="21"/>
          <w:szCs w:val="21"/>
          <w:lang w:eastAsia="uk-UA"/>
        </w:rPr>
      </w:pPr>
      <w:r w:rsidRPr="00F92377">
        <w:rPr>
          <w:rFonts w:ascii="Arial" w:eastAsia="Times New Roman" w:hAnsi="Arial" w:cs="Arial"/>
          <w:color w:val="000000"/>
          <w:sz w:val="21"/>
          <w:szCs w:val="21"/>
          <w:lang w:eastAsia="uk-UA"/>
        </w:rPr>
        <w:t>Часть пятая. Обращение с правонарушителями в исправительных учреждениях</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26. Цели обращения с правонарушителями в исправительных учреждениях</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26.1 Целью воспитательной работы с несовершеннолетними, содержащимися в исправительных учреждениях, является обеспечение опеки, защиты, образования и профессиональной подготовки с целью оказания им помощи для выполнения социально-полезной и плодотворной роли в обществе.</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26.2 Несовершеннолетним в исправительных учреждениях должен обеспечиваться уход, защита и вся необходимая помощь — социальная, психологическая, медицинская, физическая, а также помощь в области образования и профессиональной подготовки, — которые им могут потребоваться с учетом их возраста, пола и личности, а также интересов их полноценного развития.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26.3 Несовершеннолетние в исправительных учреждениях должны содержаться отдельно от взрослых, а также в специальном исправительном учреждении или в специальном отделении исправительного учреждения, где содержатся также и взрослые.</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26.4 Молодым женщинам-правонарушителям, помещенным в исправительное учреждение, должно уделяться особое внимание с учетом их личных нужд и проблем. Им должен обеспечиваться такой же уход, защита, помощь, обращение и профессиональная подготовка, как и молодым мужчинам-правонарушителям. Следует обеспечить справедливое обращение с ними.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26.5 В интересах благополучия несовершеннолетних, помещенных в исправительные учреждения, их родители или опекуны должны иметь право посещать их.</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26.6 Необходимо поощрять межминистерское и межведомственное сотрудничество с целью обеспечения соответствующей академической или, по возможности, профессиональной подготовки находящихся в исправительных учреждениях несовершеннолетних, с тем чтобы после их выхода из исправительного учреждения они имели полноценное образование.</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Цели обращения с правонарушителями в исправительных учреждениях, сформулированные в правилах 26.1 и 26.2, должны быть приемлемы для любой системы и культуры. Однако они не были достигнуты повсеместно, и в связи с этим предстоит еще очень большая работа.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частности, оказание медицинской и психологической помощи имеет исключительно важное значение для помещенных в исправительные учреждения наркоманов, агрессивных и психически больных молодых людей.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Необходимо избегать отрицательного влияния взрослых правонарушителей и охранять благополучие несовершеннолетних в условиях исправительного учреждения, как предусмотрено в правиле 26.3, что соответствует одному из основных руководящих принципов этих Правил, как он изложен шестым Конгрессом в его резолюции 4</w:t>
      </w:r>
      <w:hyperlink r:id="rId44" w:anchor="a8" w:history="1">
        <w:r w:rsidRPr="00F92377">
          <w:rPr>
            <w:rFonts w:ascii="Arial" w:eastAsia="Times New Roman" w:hAnsi="Arial" w:cs="Arial"/>
            <w:color w:val="333333"/>
            <w:sz w:val="18"/>
            <w:u w:val="single"/>
            <w:vertAlign w:val="superscript"/>
            <w:lang w:eastAsia="uk-UA"/>
          </w:rPr>
          <w:t>8</w:t>
        </w:r>
      </w:hyperlink>
      <w:r w:rsidRPr="00F92377">
        <w:rPr>
          <w:rFonts w:ascii="Arial" w:eastAsia="Times New Roman" w:hAnsi="Arial" w:cs="Arial"/>
          <w:color w:val="333333"/>
          <w:sz w:val="18"/>
          <w:szCs w:val="18"/>
          <w:lang w:eastAsia="uk-UA"/>
        </w:rPr>
        <w:t>. Это правило не препятствует принятию государствами иных мер против отрицательного влияния взрослых правонарушителей, которые по крайней мере столь же эффективны, как и меры, упомянутые в данном правиле (см. также правило 13.4).</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Правило 26.4 связано с тем обстоятельством, что женщинам-правонарушителям, как отмечалось на шестом Конгрессе, уделяется обычно меньше внимания, чем мужчинам. В частности, в резолюции 9 шестого Конгресса</w:t>
      </w:r>
      <w:hyperlink r:id="rId45" w:anchor="a8" w:history="1">
        <w:r w:rsidRPr="00F92377">
          <w:rPr>
            <w:rFonts w:ascii="Arial" w:eastAsia="Times New Roman" w:hAnsi="Arial" w:cs="Arial"/>
            <w:color w:val="333333"/>
            <w:sz w:val="18"/>
            <w:u w:val="single"/>
            <w:vertAlign w:val="superscript"/>
            <w:lang w:eastAsia="uk-UA"/>
          </w:rPr>
          <w:t>8</w:t>
        </w:r>
      </w:hyperlink>
      <w:r w:rsidRPr="00F92377">
        <w:rPr>
          <w:rFonts w:ascii="Arial" w:eastAsia="Times New Roman" w:hAnsi="Arial" w:cs="Arial"/>
          <w:color w:val="333333"/>
          <w:sz w:val="18"/>
          <w:szCs w:val="18"/>
          <w:lang w:eastAsia="uk-UA"/>
        </w:rPr>
        <w:t> содержится призыв к справедливому обращению с женщинами-правонарушителями на каждом этапе процесса уголовного правосудия, а также к рассмотрению с особым вниманием их конкретных проблем и нужд в период лишения свободы. Кроме того, это правило должно рассматриваться в свете Каракасской декларации шестого Конгресса, которая, в частности, призывает к равноправному обращению при отправлении уголовного правосудия</w:t>
      </w:r>
      <w:hyperlink r:id="rId46" w:anchor="a11" w:history="1">
        <w:r w:rsidRPr="00F92377">
          <w:rPr>
            <w:rFonts w:ascii="Arial" w:eastAsia="Times New Roman" w:hAnsi="Arial" w:cs="Arial"/>
            <w:color w:val="333333"/>
            <w:sz w:val="18"/>
            <w:u w:val="single"/>
            <w:vertAlign w:val="superscript"/>
            <w:lang w:eastAsia="uk-UA"/>
          </w:rPr>
          <w:t>11</w:t>
        </w:r>
      </w:hyperlink>
      <w:r w:rsidRPr="00F92377">
        <w:rPr>
          <w:rFonts w:ascii="Arial" w:eastAsia="Times New Roman" w:hAnsi="Arial" w:cs="Arial"/>
          <w:color w:val="333333"/>
          <w:sz w:val="18"/>
          <w:szCs w:val="18"/>
          <w:lang w:eastAsia="uk-UA"/>
        </w:rPr>
        <w:t>, и в свете Декларации о ликвидации дискриминации в отношении женщин</w:t>
      </w:r>
      <w:hyperlink r:id="rId47" w:anchor="a12" w:history="1">
        <w:r w:rsidRPr="00F92377">
          <w:rPr>
            <w:rFonts w:ascii="Arial" w:eastAsia="Times New Roman" w:hAnsi="Arial" w:cs="Arial"/>
            <w:color w:val="333333"/>
            <w:sz w:val="18"/>
            <w:u w:val="single"/>
            <w:vertAlign w:val="superscript"/>
            <w:lang w:eastAsia="uk-UA"/>
          </w:rPr>
          <w:t>12</w:t>
        </w:r>
      </w:hyperlink>
      <w:r w:rsidRPr="00F92377">
        <w:rPr>
          <w:rFonts w:ascii="Arial" w:eastAsia="Times New Roman" w:hAnsi="Arial" w:cs="Arial"/>
          <w:color w:val="333333"/>
          <w:sz w:val="18"/>
          <w:szCs w:val="18"/>
          <w:lang w:eastAsia="uk-UA"/>
        </w:rPr>
        <w:t> и </w:t>
      </w:r>
      <w:hyperlink r:id="rId48" w:history="1">
        <w:r w:rsidRPr="00F92377">
          <w:rPr>
            <w:rFonts w:ascii="Arial" w:eastAsia="Times New Roman" w:hAnsi="Arial" w:cs="Arial"/>
            <w:color w:val="333333"/>
            <w:sz w:val="18"/>
            <w:u w:val="single"/>
            <w:lang w:eastAsia="uk-UA"/>
          </w:rPr>
          <w:t>Конвенции о ликвидации всех форм дискриминации в отношении женщин</w:t>
        </w:r>
      </w:hyperlink>
      <w:hyperlink r:id="rId49" w:anchor="a13" w:history="1">
        <w:r w:rsidRPr="00F92377">
          <w:rPr>
            <w:rFonts w:ascii="Arial" w:eastAsia="Times New Roman" w:hAnsi="Arial" w:cs="Arial"/>
            <w:color w:val="333333"/>
            <w:sz w:val="18"/>
            <w:u w:val="single"/>
            <w:vertAlign w:val="superscript"/>
            <w:lang w:eastAsia="uk-UA"/>
          </w:rPr>
          <w:t>13</w:t>
        </w:r>
      </w:hyperlink>
      <w:r w:rsidRPr="00F92377">
        <w:rPr>
          <w:rFonts w:ascii="Arial" w:eastAsia="Times New Roman" w:hAnsi="Arial" w:cs="Arial"/>
          <w:color w:val="333333"/>
          <w:sz w:val="18"/>
          <w:szCs w:val="18"/>
          <w:lang w:eastAsia="uk-UA"/>
        </w:rPr>
        <w:t>.</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Право посещения заключенных (правило 26.5) вытекает из положений правил 7.1, 10.1, 15.2 и 18.2. Межминистерское и межведомственное сотрудничество (правило 26.6) имеет особо важное значение для общего повышения качества обращения с правонарушителями в исправительных учреждениях и их профессионального обучения.</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27. Применение Минимальных стандартных правил обращения с заключенными, принятых Организацией Объединенных Наций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lastRenderedPageBreak/>
        <w:t>27.1 Минимальные стандартные правила обращения с заключенными и соответствующие рекомендации используются по мере их применимости к обращению с несовершеннолетними правонарушителями в исправительных учреждениях, включая тех, которые находятся под стражей в ожидании судебного решения.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27.2 Необходимо прилагать усилия для возможно более полного выполнения соответствующих принципов, изложенных в Минимальных стандартных правилах обращения с заключенными, в целях удовлетворения различных нужд несовершеннолетних с учетом их возраста, пола и личности.</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Минимальные стандартные правила обращения с заключенными явились одним из первых документов такого рода, провозглашенных Организацией Объединенных Наций. По всеобщему признанию, их воздействие ощущается во всем мире. Хотя до сих пор имеются страны, в которых их осуществление остается пожеланием, а не фактом, эти Минимальные стандартные правила продолжают являться важным фактором гуманного и справедливого использования исправительных учреждений.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Минимальных стандартных правилах обращения с заключенными отражены некоторые основные обращения с несовершеннолетними правонарушителями в исправительных учреждениях (помещения и их оборудование, спальные принадлежности, одежда, рассмотрение заявлений и жалоб, контакты с внешним миром, питание, медицинское обслуживание, отправление религиозных обрядов, разбивка по возрастным категориям, требования к персоналу, труд и т. д.), а также положения, касающиеся наказаний, дисциплины и средств усмирения опасных правонарушителей. Было бы нецелесообразно изменять эти Минимальные стандартные правила обращения с заключенными, чтобы отразить особые характерные черты исправительных учреждений для несовершеннолетних правонарушителей в сфере действия Минимальных стандартных правил, касающихся отправления правосудия в отношении несовершеннолетних.</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правиле 27 изложены необходимые требования в отношении несовершеннолетних, находящихся в исправительных учреждениях (правило 27.1), а также об удовлетворении их различных конкретных нужд с учетом их возраста, пола и личности (правило 27.2). Поэтому цели и содержание данного правила в некоторых отношениях совпадают с соответствующими положениями Минимальных стандартных правил обращения с заключенными.</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28. Регулярное применение условного освобождения на ранних этапах</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28.1 Условное освобождение из исправительного учреждения применяется соответствующими органами в возможно более широких масштабах и в возможно более ранние сроки.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28.2 Несовершеннолетние, условно освобожденные из исправительного учреждения, получают помощь и находятся под надзором соответствующего органа и должны получать поддержку со стороны общины.</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Право принимать решение об условном освобождении может быть предоставлено компетентному органу власти, указанному в правиле 14.1, или какому-либо другому органу власти. Поэтому в данном случае целесообразно использовать определение «соответствующий», нежели «компетентный» орган власти.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Если позволяют обстоятельства, следует отдать предпочтение условному освобождению, не заставляя молодого правонарушителя полностью отбывать свой срок. При наличии данных, свидетельствующих об удовлетворительном ходе перевоспитания, даже нарушители, которые считались опасными в момент их помещения в исправительное учреждение, могут быть, если позволяют обстоятельства, освобождены условно. Подобно установлению испытательного срока, такое освобождение может быть обусловлено выполнением условий, поставленных соответствующими органами на срок, указанный в решении, например условия «хорошего поведения» правонарушителя, участия в общинных мероприятиях, проживания в исправительных учреждениях с ослабленным режимом и т. д.</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случае условного освобождения правонарушителей из исправительного учреждения необходимо предусмотреть помощь и надзор со стороны должностного лица системы пробации или другого должностного лица (в частности в странах, где система пробации еще не применяется), а также поощрять оказание поддержки со стороны общины.</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29. Промежуточные формы работы</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29.1 Следует прилагать усилия для использования промежуточных форм работы, таких как исправительные учреждения с ослабленным режимом, воспитательные дома, центры дневной подготовки и другие аналогичные им соответствующие формы, которые могут способствовать надлежащей реинтеграции несовершеннолетних в жизнь общества.</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Не следует недооценивать важность опеки после освобождения из исправительного учреждения. В данном правиле особо указывается на необходимость создания сети учреждений промежуточного типа.</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 xml:space="preserve">В этом правиле подчеркивается также необходимость создания разнообразных учреждений и служб, рассчитанных на удовлетворение различных нужд молодых правонарушителей, возвращающихся в общество, и </w:t>
      </w:r>
      <w:r w:rsidRPr="00F92377">
        <w:rPr>
          <w:rFonts w:ascii="Arial" w:eastAsia="Times New Roman" w:hAnsi="Arial" w:cs="Arial"/>
          <w:color w:val="333333"/>
          <w:sz w:val="18"/>
          <w:szCs w:val="18"/>
          <w:lang w:eastAsia="uk-UA"/>
        </w:rPr>
        <w:lastRenderedPageBreak/>
        <w:t>обеспечения руководства и структурной поддержки как важной меры для их успешной реинтеграции в жизнь общества.</w:t>
      </w:r>
    </w:p>
    <w:p w:rsidR="00F92377" w:rsidRPr="00F92377" w:rsidRDefault="00F92377" w:rsidP="00F92377">
      <w:pPr>
        <w:pBdr>
          <w:bottom w:val="dotted" w:sz="6" w:space="2" w:color="074BB0"/>
        </w:pBdr>
        <w:shd w:val="clear" w:color="auto" w:fill="F6F6F7"/>
        <w:spacing w:before="480" w:after="120" w:line="240" w:lineRule="auto"/>
        <w:outlineLvl w:val="2"/>
        <w:rPr>
          <w:rFonts w:ascii="Arial" w:eastAsia="Times New Roman" w:hAnsi="Arial" w:cs="Arial"/>
          <w:color w:val="000000"/>
          <w:sz w:val="21"/>
          <w:szCs w:val="21"/>
          <w:lang w:eastAsia="uk-UA"/>
        </w:rPr>
      </w:pPr>
      <w:r w:rsidRPr="00F92377">
        <w:rPr>
          <w:rFonts w:ascii="Arial" w:eastAsia="Times New Roman" w:hAnsi="Arial" w:cs="Arial"/>
          <w:color w:val="000000"/>
          <w:sz w:val="21"/>
          <w:szCs w:val="21"/>
          <w:lang w:eastAsia="uk-UA"/>
        </w:rPr>
        <w:t>Часть шестая. Исследования, планирование, разработка и оценка политики</w:t>
      </w:r>
    </w:p>
    <w:p w:rsidR="00F92377" w:rsidRPr="00F92377" w:rsidRDefault="00F92377" w:rsidP="00F92377">
      <w:pPr>
        <w:shd w:val="clear" w:color="auto" w:fill="FFFFFF"/>
        <w:spacing w:after="0" w:line="240" w:lineRule="auto"/>
        <w:outlineLvl w:val="3"/>
        <w:rPr>
          <w:rFonts w:ascii="Arial" w:eastAsia="Times New Roman" w:hAnsi="Arial" w:cs="Arial"/>
          <w:b/>
          <w:bCs/>
          <w:color w:val="333333"/>
          <w:sz w:val="19"/>
          <w:szCs w:val="19"/>
          <w:lang w:eastAsia="uk-UA"/>
        </w:rPr>
      </w:pPr>
      <w:r w:rsidRPr="00F92377">
        <w:rPr>
          <w:rFonts w:ascii="Arial" w:eastAsia="Times New Roman" w:hAnsi="Arial" w:cs="Arial"/>
          <w:b/>
          <w:bCs/>
          <w:color w:val="333333"/>
          <w:sz w:val="19"/>
          <w:szCs w:val="19"/>
          <w:lang w:eastAsia="uk-UA"/>
        </w:rPr>
        <w:t>30. Исследования как основа планирования, разработки и оценки политики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30.1 Следует прилагать усилия для организации и поощрения необходимой исследовательской работы, являющейся основой эффективного планирования и разработки политики.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30.2 Следует прилагать усилия для периодического обзора и оценки тенденций, проблем и причин правонарушений и преступности среди несовершеннолетних, а также различных конкретных нужд несовершеннолетних, находящихся в заключении.</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30.3 Следует прилагать усилия для создания механизма регулярных оценочных исследований в рамках системы отправления правосудия в отношении несовершеннолетних и для сбора и анализа соответствующих данных и информации в целях надлежащей оценки и последующего совершенствования и реформы системы отправления правосудия.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30.4 Предоставление услуг при отправлении правосудия в отношении несовершеннолетних следует систематически планировать и осуществлять в качестве неотъемлемой части мероприятий по национальному развитию.</w:t>
      </w:r>
    </w:p>
    <w:p w:rsidR="00F92377" w:rsidRPr="00F92377" w:rsidRDefault="00F92377" w:rsidP="00F92377">
      <w:pPr>
        <w:shd w:val="clear" w:color="auto" w:fill="FFFFFF"/>
        <w:spacing w:after="0" w:line="240" w:lineRule="auto"/>
        <w:outlineLvl w:val="4"/>
        <w:rPr>
          <w:rFonts w:ascii="Arial" w:eastAsia="Times New Roman" w:hAnsi="Arial" w:cs="Arial"/>
          <w:i/>
          <w:iCs/>
          <w:color w:val="074BB0"/>
          <w:sz w:val="21"/>
          <w:szCs w:val="21"/>
          <w:lang w:eastAsia="uk-UA"/>
        </w:rPr>
      </w:pPr>
      <w:r w:rsidRPr="00F92377">
        <w:rPr>
          <w:rFonts w:ascii="Arial" w:eastAsia="Times New Roman" w:hAnsi="Arial" w:cs="Arial"/>
          <w:i/>
          <w:iCs/>
          <w:color w:val="074BB0"/>
          <w:sz w:val="21"/>
          <w:szCs w:val="21"/>
          <w:lang w:eastAsia="uk-UA"/>
        </w:rPr>
        <w:t>Комментарий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Использование исследований как основы для рациональной политики в области правосудия в отношении несовершеннолетних широко признается в качестве важного механизма для поддержания соответствия практики уровню научных достижений и постоянного развития и совершенствования системы правосудия в отношении несовершеннолетних. Взаимная обратная связь между исследовательской работой и политикой имеет особо важное значение в области правосудия в отношении несовершеннолетних. В условиях быстрых и часто радикальных изменений в стиле жизни молодежи, а также формах и масштабах преступности несовершеннолетних, реакция общества и правосудия на правонарушения и преступность со стороны несовершеннолетних быстро становится устаревшей и неадекватной.</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Поэтому в правиле 30 указаны стандарты для включения исследовательской деятельности в процесс разработки политики и ее применения при отправлении правосудия в отношении несовершеннолетних. В данном правиле особое внимание обращается на необходимость регулярных обзоров и оценки существующих программ и мер, а также планирования в более широком контексте общих задач развития.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Постоянная оценка нужд несовершеннолетних, а также тенденций и проблем правонарушений среди несовершеннолетних является предварительным условием для улучшения методов разработки соответствующей политики и надлежащих мер вмешательства как на официальном, так и неофициальном уровнях. В этом контексте ответственные учреждения должны оказывать содействие исследованиям, осуществляемым независимыми лицами и организациями, и видимо было бы целесообразно получать и учитывать мнение самих несовершеннолетних, и не только тех, которые вступают в контакт с системой правосудия.</w:t>
      </w:r>
    </w:p>
    <w:p w:rsidR="00F92377" w:rsidRPr="00F92377" w:rsidRDefault="00F92377" w:rsidP="00F92377">
      <w:pPr>
        <w:shd w:val="clear" w:color="auto" w:fill="FFFFFF"/>
        <w:spacing w:after="240" w:line="240" w:lineRule="auto"/>
        <w:jc w:val="both"/>
        <w:rPr>
          <w:rFonts w:ascii="Arial" w:eastAsia="Times New Roman" w:hAnsi="Arial" w:cs="Arial"/>
          <w:color w:val="333333"/>
          <w:sz w:val="18"/>
          <w:szCs w:val="18"/>
          <w:lang w:eastAsia="uk-UA"/>
        </w:rPr>
      </w:pPr>
      <w:r w:rsidRPr="00F92377">
        <w:rPr>
          <w:rFonts w:ascii="Arial" w:eastAsia="Times New Roman" w:hAnsi="Arial" w:cs="Arial"/>
          <w:color w:val="333333"/>
          <w:sz w:val="18"/>
          <w:szCs w:val="18"/>
          <w:lang w:eastAsia="uk-UA"/>
        </w:rPr>
        <w:t>В процессе планирования на первый план, в частности, должна выдвигаться задача создания более эффективной и справедливой системы обеспечения необходимых услуг. В этих целях должен проводиться комплексный и регулярный анализ разнообразных конкретных нужд и проблем несовершеннолетних и выявление первоочередных задач. В этой связи необходимо также координировать использование имеющихся ресурсов, в том числе альтернатив и общественной поддержки, которые способствовали бы разработке конкретных процедур для осуществления и контроля над результатами разработанных программ.</w:t>
      </w:r>
    </w:p>
    <w:p w:rsidR="00F92377" w:rsidRPr="00F92377" w:rsidRDefault="00F92377" w:rsidP="00F92377">
      <w:pPr>
        <w:spacing w:after="0" w:line="240" w:lineRule="auto"/>
        <w:rPr>
          <w:rFonts w:ascii="Times New Roman" w:eastAsia="Times New Roman" w:hAnsi="Times New Roman" w:cs="Times New Roman"/>
          <w:sz w:val="24"/>
          <w:szCs w:val="24"/>
          <w:lang w:eastAsia="uk-UA"/>
        </w:rPr>
      </w:pPr>
      <w:r w:rsidRPr="00F92377">
        <w:rPr>
          <w:rFonts w:ascii="Times New Roman" w:eastAsia="Times New Roman" w:hAnsi="Times New Roman" w:cs="Times New Roman"/>
          <w:sz w:val="24"/>
          <w:szCs w:val="24"/>
          <w:lang w:eastAsia="uk-UA"/>
        </w:rPr>
        <w:pict>
          <v:rect id="_x0000_i1025" style="width:0;height:.75pt" o:hralign="center" o:hrstd="t" o:hrnoshade="t" o:hr="t" fillcolor="#333" stroked="f"/>
        </w:pic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0" w:name="a1"/>
      <w:bookmarkEnd w:id="0"/>
      <w:r w:rsidRPr="00F92377">
        <w:rPr>
          <w:rFonts w:ascii="Arial" w:eastAsia="Times New Roman" w:hAnsi="Arial" w:cs="Arial"/>
          <w:color w:val="7C7C7C"/>
          <w:sz w:val="18"/>
          <w:szCs w:val="18"/>
          <w:vertAlign w:val="superscript"/>
          <w:lang w:eastAsia="uk-UA"/>
        </w:rPr>
        <w:t>1</w:t>
      </w:r>
      <w:r w:rsidRPr="00F92377">
        <w:rPr>
          <w:rFonts w:ascii="Arial" w:eastAsia="Times New Roman" w:hAnsi="Arial" w:cs="Arial"/>
          <w:color w:val="7C7C7C"/>
          <w:sz w:val="18"/>
          <w:szCs w:val="18"/>
          <w:lang w:eastAsia="uk-UA"/>
        </w:rPr>
        <w:t> </w:t>
      </w:r>
      <w:hyperlink r:id="rId50" w:history="1">
        <w:r w:rsidRPr="00F92377">
          <w:rPr>
            <w:rFonts w:ascii="Arial" w:eastAsia="Times New Roman" w:hAnsi="Arial" w:cs="Arial"/>
            <w:color w:val="333333"/>
            <w:sz w:val="18"/>
            <w:u w:val="single"/>
            <w:lang w:eastAsia="uk-UA"/>
          </w:rPr>
          <w:t>Резолюция 1386 (XIV)</w:t>
        </w:r>
      </w:hyperlink>
      <w:r w:rsidRPr="00F92377">
        <w:rPr>
          <w:rFonts w:ascii="Arial" w:eastAsia="Times New Roman" w:hAnsi="Arial" w:cs="Arial"/>
          <w:color w:val="7C7C7C"/>
          <w:sz w:val="18"/>
          <w:szCs w:val="18"/>
          <w:lang w:eastAsia="uk-UA"/>
        </w:rPr>
        <w:t>. См. также Конвенцию о ликвидации всех форм дискриминации в отношении женщин (</w:t>
      </w:r>
      <w:hyperlink r:id="rId51" w:history="1">
        <w:r w:rsidRPr="00F92377">
          <w:rPr>
            <w:rFonts w:ascii="Arial" w:eastAsia="Times New Roman" w:hAnsi="Arial" w:cs="Arial"/>
            <w:color w:val="333333"/>
            <w:sz w:val="18"/>
            <w:u w:val="single"/>
            <w:lang w:eastAsia="uk-UA"/>
          </w:rPr>
          <w:t>резолюция 34/180</w:t>
        </w:r>
      </w:hyperlink>
      <w:r w:rsidRPr="00F92377">
        <w:rPr>
          <w:rFonts w:ascii="Arial" w:eastAsia="Times New Roman" w:hAnsi="Arial" w:cs="Arial"/>
          <w:color w:val="7C7C7C"/>
          <w:sz w:val="18"/>
          <w:szCs w:val="18"/>
          <w:lang w:eastAsia="uk-UA"/>
        </w:rPr>
        <w:t>, приложение); Декларацию </w:t>
      </w:r>
      <w:hyperlink r:id="rId52" w:history="1">
        <w:r w:rsidRPr="00F92377">
          <w:rPr>
            <w:rFonts w:ascii="Arial" w:eastAsia="Times New Roman" w:hAnsi="Arial" w:cs="Arial"/>
            <w:color w:val="333333"/>
            <w:sz w:val="18"/>
            <w:u w:val="single"/>
            <w:lang w:eastAsia="uk-UA"/>
          </w:rPr>
          <w:t>Всемирной конференции по борьбе с расизмом и расовой дискриминацией</w:t>
        </w:r>
      </w:hyperlink>
      <w:r w:rsidRPr="00F92377">
        <w:rPr>
          <w:rFonts w:ascii="Arial" w:eastAsia="Times New Roman" w:hAnsi="Arial" w:cs="Arial"/>
          <w:color w:val="7C7C7C"/>
          <w:sz w:val="18"/>
          <w:szCs w:val="18"/>
          <w:lang w:eastAsia="uk-UA"/>
        </w:rPr>
        <w:t> [</w:t>
      </w:r>
      <w:r w:rsidRPr="00F92377">
        <w:rPr>
          <w:rFonts w:ascii="Arial" w:eastAsia="Times New Roman" w:hAnsi="Arial" w:cs="Arial"/>
          <w:i/>
          <w:iCs/>
          <w:color w:val="7C7C7C"/>
          <w:sz w:val="18"/>
          <w:lang w:eastAsia="uk-UA"/>
        </w:rPr>
        <w:t>Доклад Всемирной конференции по борьбе с расизмом и расовой дискриминацией, Женева, 14–25 августа 1978 года</w:t>
      </w:r>
      <w:r w:rsidRPr="00F92377">
        <w:rPr>
          <w:rFonts w:ascii="Arial" w:eastAsia="Times New Roman" w:hAnsi="Arial" w:cs="Arial"/>
          <w:color w:val="7C7C7C"/>
          <w:sz w:val="18"/>
          <w:szCs w:val="18"/>
          <w:lang w:eastAsia="uk-UA"/>
        </w:rPr>
        <w:t> (издание Организации Объединенных Наций, в продаже под № R.79.ХIV.2), глава II]; Декларацию о ликвидации всех форм нетерпимости и дискриминации на основе религии или убеждений (</w:t>
      </w:r>
      <w:hyperlink r:id="rId53" w:history="1">
        <w:r w:rsidRPr="00F92377">
          <w:rPr>
            <w:rFonts w:ascii="Arial" w:eastAsia="Times New Roman" w:hAnsi="Arial" w:cs="Arial"/>
            <w:color w:val="333333"/>
            <w:sz w:val="18"/>
            <w:u w:val="single"/>
            <w:lang w:eastAsia="uk-UA"/>
          </w:rPr>
          <w:t>резолюция 36/55</w:t>
        </w:r>
      </w:hyperlink>
      <w:r w:rsidRPr="00F92377">
        <w:rPr>
          <w:rFonts w:ascii="Arial" w:eastAsia="Times New Roman" w:hAnsi="Arial" w:cs="Arial"/>
          <w:color w:val="7C7C7C"/>
          <w:sz w:val="18"/>
          <w:szCs w:val="18"/>
          <w:lang w:eastAsia="uk-UA"/>
        </w:rPr>
        <w:t>); Минимальные стандартные правила обращения с заключенными (см. </w:t>
      </w:r>
      <w:r w:rsidRPr="00F92377">
        <w:rPr>
          <w:rFonts w:ascii="Arial" w:eastAsia="Times New Roman" w:hAnsi="Arial" w:cs="Arial"/>
          <w:i/>
          <w:iCs/>
          <w:color w:val="7C7C7C"/>
          <w:sz w:val="18"/>
          <w:lang w:eastAsia="uk-UA"/>
        </w:rPr>
        <w:t>Права человека: Сборник международных договоров</w:t>
      </w:r>
      <w:r w:rsidRPr="00F92377">
        <w:rPr>
          <w:rFonts w:ascii="Arial" w:eastAsia="Times New Roman" w:hAnsi="Arial" w:cs="Arial"/>
          <w:color w:val="7C7C7C"/>
          <w:sz w:val="18"/>
          <w:szCs w:val="18"/>
          <w:lang w:eastAsia="uk-UA"/>
        </w:rPr>
        <w:t>) (издание Организации Объединенных Наций, в продаже под № R.83.ХIV.1); Каракасскую декларацию (</w:t>
      </w:r>
      <w:hyperlink r:id="rId54" w:history="1">
        <w:r w:rsidRPr="00F92377">
          <w:rPr>
            <w:rFonts w:ascii="Arial" w:eastAsia="Times New Roman" w:hAnsi="Arial" w:cs="Arial"/>
            <w:color w:val="333333"/>
            <w:sz w:val="18"/>
            <w:u w:val="single"/>
            <w:lang w:eastAsia="uk-UA"/>
          </w:rPr>
          <w:t>резолюция 35/171</w:t>
        </w:r>
      </w:hyperlink>
      <w:r w:rsidRPr="00F92377">
        <w:rPr>
          <w:rFonts w:ascii="Arial" w:eastAsia="Times New Roman" w:hAnsi="Arial" w:cs="Arial"/>
          <w:color w:val="7C7C7C"/>
          <w:sz w:val="18"/>
          <w:szCs w:val="18"/>
          <w:lang w:eastAsia="uk-UA"/>
        </w:rPr>
        <w:t>, приложение); и правило 9.</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1" w:name="a2"/>
      <w:bookmarkEnd w:id="1"/>
      <w:r w:rsidRPr="00F92377">
        <w:rPr>
          <w:rFonts w:ascii="Arial" w:eastAsia="Times New Roman" w:hAnsi="Arial" w:cs="Arial"/>
          <w:color w:val="7C7C7C"/>
          <w:sz w:val="18"/>
          <w:szCs w:val="18"/>
          <w:vertAlign w:val="superscript"/>
          <w:lang w:eastAsia="uk-UA"/>
        </w:rPr>
        <w:t>2</w:t>
      </w:r>
      <w:r w:rsidRPr="00F92377">
        <w:rPr>
          <w:rFonts w:ascii="Arial" w:eastAsia="Times New Roman" w:hAnsi="Arial" w:cs="Arial"/>
          <w:color w:val="7C7C7C"/>
          <w:sz w:val="18"/>
          <w:szCs w:val="18"/>
          <w:lang w:eastAsia="uk-UA"/>
        </w:rPr>
        <w:t> </w:t>
      </w:r>
      <w:hyperlink r:id="rId55" w:history="1">
        <w:r w:rsidRPr="00F92377">
          <w:rPr>
            <w:rFonts w:ascii="Arial" w:eastAsia="Times New Roman" w:hAnsi="Arial" w:cs="Arial"/>
            <w:color w:val="333333"/>
            <w:sz w:val="18"/>
            <w:u w:val="single"/>
            <w:lang w:eastAsia="uk-UA"/>
          </w:rPr>
          <w:t>Резолюция 217 A (III)</w:t>
        </w:r>
      </w:hyperlink>
      <w:r w:rsidRPr="00F92377">
        <w:rPr>
          <w:rFonts w:ascii="Arial" w:eastAsia="Times New Roman" w:hAnsi="Arial" w:cs="Arial"/>
          <w:color w:val="7C7C7C"/>
          <w:sz w:val="18"/>
          <w:szCs w:val="18"/>
          <w:lang w:eastAsia="uk-UA"/>
        </w:rPr>
        <w:t>.</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2" w:name="a3"/>
      <w:bookmarkEnd w:id="2"/>
      <w:r w:rsidRPr="00F92377">
        <w:rPr>
          <w:rFonts w:ascii="Arial" w:eastAsia="Times New Roman" w:hAnsi="Arial" w:cs="Arial"/>
          <w:color w:val="7C7C7C"/>
          <w:sz w:val="18"/>
          <w:szCs w:val="18"/>
          <w:vertAlign w:val="superscript"/>
          <w:lang w:eastAsia="uk-UA"/>
        </w:rPr>
        <w:t>3</w:t>
      </w:r>
      <w:r w:rsidRPr="00F92377">
        <w:rPr>
          <w:rFonts w:ascii="Arial" w:eastAsia="Times New Roman" w:hAnsi="Arial" w:cs="Arial"/>
          <w:color w:val="7C7C7C"/>
          <w:sz w:val="18"/>
          <w:szCs w:val="18"/>
          <w:lang w:eastAsia="uk-UA"/>
        </w:rPr>
        <w:t> </w:t>
      </w:r>
      <w:hyperlink r:id="rId56" w:history="1">
        <w:r w:rsidRPr="00F92377">
          <w:rPr>
            <w:rFonts w:ascii="Arial" w:eastAsia="Times New Roman" w:hAnsi="Arial" w:cs="Arial"/>
            <w:color w:val="333333"/>
            <w:sz w:val="18"/>
            <w:u w:val="single"/>
            <w:lang w:eastAsia="uk-UA"/>
          </w:rPr>
          <w:t>Резолюция 2200 А (XXI)</w:t>
        </w:r>
      </w:hyperlink>
      <w:r w:rsidRPr="00F92377">
        <w:rPr>
          <w:rFonts w:ascii="Arial" w:eastAsia="Times New Roman" w:hAnsi="Arial" w:cs="Arial"/>
          <w:color w:val="7C7C7C"/>
          <w:sz w:val="18"/>
          <w:szCs w:val="18"/>
          <w:lang w:eastAsia="uk-UA"/>
        </w:rPr>
        <w:t>, приложение.</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3" w:name="a4"/>
      <w:bookmarkEnd w:id="3"/>
      <w:r w:rsidRPr="00F92377">
        <w:rPr>
          <w:rFonts w:ascii="Arial" w:eastAsia="Times New Roman" w:hAnsi="Arial" w:cs="Arial"/>
          <w:color w:val="7C7C7C"/>
          <w:sz w:val="18"/>
          <w:szCs w:val="18"/>
          <w:vertAlign w:val="superscript"/>
          <w:lang w:eastAsia="uk-UA"/>
        </w:rPr>
        <w:t>4</w:t>
      </w:r>
      <w:r w:rsidRPr="00F92377">
        <w:rPr>
          <w:rFonts w:ascii="Arial" w:eastAsia="Times New Roman" w:hAnsi="Arial" w:cs="Arial"/>
          <w:color w:val="7C7C7C"/>
          <w:sz w:val="18"/>
          <w:szCs w:val="18"/>
          <w:lang w:eastAsia="uk-UA"/>
        </w:rPr>
        <w:t> См. </w:t>
      </w:r>
      <w:r w:rsidRPr="00F92377">
        <w:rPr>
          <w:rFonts w:ascii="Arial" w:eastAsia="Times New Roman" w:hAnsi="Arial" w:cs="Arial"/>
          <w:i/>
          <w:iCs/>
          <w:color w:val="7C7C7C"/>
          <w:sz w:val="18"/>
          <w:lang w:eastAsia="uk-UA"/>
        </w:rPr>
        <w:t>Права человека: Сборник международных договоров</w:t>
      </w:r>
      <w:r w:rsidRPr="00F92377">
        <w:rPr>
          <w:rFonts w:ascii="Arial" w:eastAsia="Times New Roman" w:hAnsi="Arial" w:cs="Arial"/>
          <w:color w:val="7C7C7C"/>
          <w:sz w:val="18"/>
          <w:szCs w:val="18"/>
          <w:lang w:eastAsia="uk-UA"/>
        </w:rPr>
        <w:t> (издание Организации Объединенных Наций, в продаже под № R.83.XIV.1).</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4" w:name="a5"/>
      <w:bookmarkEnd w:id="4"/>
      <w:r w:rsidRPr="00F92377">
        <w:rPr>
          <w:rFonts w:ascii="Arial" w:eastAsia="Times New Roman" w:hAnsi="Arial" w:cs="Arial"/>
          <w:color w:val="7C7C7C"/>
          <w:sz w:val="18"/>
          <w:szCs w:val="18"/>
          <w:vertAlign w:val="superscript"/>
          <w:lang w:eastAsia="uk-UA"/>
        </w:rPr>
        <w:lastRenderedPageBreak/>
        <w:t>5</w:t>
      </w:r>
      <w:r w:rsidRPr="00F92377">
        <w:rPr>
          <w:rFonts w:ascii="Arial" w:eastAsia="Times New Roman" w:hAnsi="Arial" w:cs="Arial"/>
          <w:color w:val="7C7C7C"/>
          <w:sz w:val="18"/>
          <w:szCs w:val="18"/>
          <w:lang w:eastAsia="uk-UA"/>
        </w:rPr>
        <w:t> См. </w:t>
      </w:r>
      <w:hyperlink r:id="rId57" w:history="1">
        <w:r w:rsidRPr="00F92377">
          <w:rPr>
            <w:rFonts w:ascii="Arial" w:eastAsia="Times New Roman" w:hAnsi="Arial" w:cs="Arial"/>
            <w:color w:val="333333"/>
            <w:sz w:val="18"/>
            <w:u w:val="single"/>
            <w:lang w:eastAsia="uk-UA"/>
          </w:rPr>
          <w:t>резолюцию 1985/42</w:t>
        </w:r>
      </w:hyperlink>
      <w:r w:rsidRPr="00F92377">
        <w:rPr>
          <w:rFonts w:ascii="Arial" w:eastAsia="Times New Roman" w:hAnsi="Arial" w:cs="Arial"/>
          <w:color w:val="7C7C7C"/>
          <w:sz w:val="18"/>
          <w:szCs w:val="18"/>
          <w:lang w:eastAsia="uk-UA"/>
        </w:rPr>
        <w:t> Экономического и Социального Совета.</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5" w:name="a6"/>
      <w:bookmarkEnd w:id="5"/>
      <w:r w:rsidRPr="00F92377">
        <w:rPr>
          <w:rFonts w:ascii="Arial" w:eastAsia="Times New Roman" w:hAnsi="Arial" w:cs="Arial"/>
          <w:color w:val="7C7C7C"/>
          <w:sz w:val="18"/>
          <w:szCs w:val="18"/>
          <w:vertAlign w:val="superscript"/>
          <w:lang w:eastAsia="uk-UA"/>
        </w:rPr>
        <w:t>6</w:t>
      </w:r>
      <w:r w:rsidRPr="00F92377">
        <w:rPr>
          <w:rFonts w:ascii="Arial" w:eastAsia="Times New Roman" w:hAnsi="Arial" w:cs="Arial"/>
          <w:color w:val="7C7C7C"/>
          <w:sz w:val="18"/>
          <w:szCs w:val="18"/>
          <w:lang w:eastAsia="uk-UA"/>
        </w:rPr>
        <w:t> Минимальные стандартные правила обращения с заключенными и соответствующие рекомендации были приняты в 1955 году [см. </w:t>
      </w:r>
      <w:r w:rsidRPr="00F92377">
        <w:rPr>
          <w:rFonts w:ascii="Arial" w:eastAsia="Times New Roman" w:hAnsi="Arial" w:cs="Arial"/>
          <w:i/>
          <w:iCs/>
          <w:color w:val="7C7C7C"/>
          <w:sz w:val="18"/>
          <w:lang w:eastAsia="uk-UA"/>
        </w:rPr>
        <w:t>Первый Конгресс Организации Объединенных Наций по предупреждению преступности и обращению с правонарушителями, Женева, 22 августа — 3 сентября 1955 года: доклад, подготовленный Секретариатом</w:t>
      </w:r>
      <w:r w:rsidRPr="00F92377">
        <w:rPr>
          <w:rFonts w:ascii="Arial" w:eastAsia="Times New Roman" w:hAnsi="Arial" w:cs="Arial"/>
          <w:color w:val="7C7C7C"/>
          <w:sz w:val="18"/>
          <w:szCs w:val="18"/>
          <w:lang w:eastAsia="uk-UA"/>
        </w:rPr>
        <w:t> (издание Организации Объединенных Наций, в продаже под № 1956.IV.4)]. В своей </w:t>
      </w:r>
      <w:hyperlink r:id="rId58" w:history="1">
        <w:r w:rsidRPr="00F92377">
          <w:rPr>
            <w:rFonts w:ascii="Arial" w:eastAsia="Times New Roman" w:hAnsi="Arial" w:cs="Arial"/>
            <w:color w:val="333333"/>
            <w:sz w:val="18"/>
            <w:u w:val="single"/>
            <w:lang w:eastAsia="uk-UA"/>
          </w:rPr>
          <w:t>резолюции 663 C (ХХIV)</w:t>
        </w:r>
      </w:hyperlink>
      <w:r w:rsidRPr="00F92377">
        <w:rPr>
          <w:rFonts w:ascii="Arial" w:eastAsia="Times New Roman" w:hAnsi="Arial" w:cs="Arial"/>
          <w:color w:val="7C7C7C"/>
          <w:sz w:val="18"/>
          <w:szCs w:val="18"/>
          <w:lang w:eastAsia="uk-UA"/>
        </w:rPr>
        <w:t> от 31 июля 1957 года Экономический и Социальный Совет одобрил Минимальные стандартные правила, а также, в частности, рекомендации, касающиеся подбора и подготовки персонала для пенитенциарных и исправительных заведений и рекомендаций относительно открытых пенитенциарных и исправительных заведений. Совет рекомендовал правительствам положительно рассмотреть вопрос о принятии и применении Минимальных стандартных правил и по возможности полностью принимать во внимание две другие группы рекомендаций в ходе управления пенитенциарными и исправительными заведениями. Новое правило, правило 95, было включено согласно постановлению Экономического и Социального Совета, содержащемуся в его </w:t>
      </w:r>
      <w:hyperlink r:id="rId59" w:history="1">
        <w:r w:rsidRPr="00F92377">
          <w:rPr>
            <w:rFonts w:ascii="Arial" w:eastAsia="Times New Roman" w:hAnsi="Arial" w:cs="Arial"/>
            <w:color w:val="333333"/>
            <w:sz w:val="18"/>
            <w:u w:val="single"/>
            <w:lang w:eastAsia="uk-UA"/>
          </w:rPr>
          <w:t>резолюции 2076 (LXII)</w:t>
        </w:r>
      </w:hyperlink>
      <w:r w:rsidRPr="00F92377">
        <w:rPr>
          <w:rFonts w:ascii="Arial" w:eastAsia="Times New Roman" w:hAnsi="Arial" w:cs="Arial"/>
          <w:color w:val="7C7C7C"/>
          <w:sz w:val="18"/>
          <w:szCs w:val="18"/>
          <w:lang w:eastAsia="uk-UA"/>
        </w:rPr>
        <w:t> от 13 мая 1977 года. Полный текст Минимальных стандартных правил обращения с заключенными содержится в документе </w:t>
      </w:r>
      <w:r w:rsidRPr="00F92377">
        <w:rPr>
          <w:rFonts w:ascii="Arial" w:eastAsia="Times New Roman" w:hAnsi="Arial" w:cs="Arial"/>
          <w:i/>
          <w:iCs/>
          <w:color w:val="7C7C7C"/>
          <w:sz w:val="18"/>
          <w:lang w:eastAsia="uk-UA"/>
        </w:rPr>
        <w:t>Права человека: Сборник международных договоров.</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6" w:name="a7"/>
      <w:bookmarkEnd w:id="6"/>
      <w:r w:rsidRPr="00F92377">
        <w:rPr>
          <w:rFonts w:ascii="Arial" w:eastAsia="Times New Roman" w:hAnsi="Arial" w:cs="Arial"/>
          <w:color w:val="7C7C7C"/>
          <w:sz w:val="18"/>
          <w:szCs w:val="18"/>
          <w:vertAlign w:val="superscript"/>
          <w:lang w:eastAsia="uk-UA"/>
        </w:rPr>
        <w:t>7</w:t>
      </w:r>
      <w:r w:rsidRPr="00F92377">
        <w:rPr>
          <w:rFonts w:ascii="Arial" w:eastAsia="Times New Roman" w:hAnsi="Arial" w:cs="Arial"/>
          <w:color w:val="7C7C7C"/>
          <w:sz w:val="18"/>
          <w:szCs w:val="18"/>
          <w:lang w:eastAsia="uk-UA"/>
        </w:rPr>
        <w:t> Конвенция № 105, принятая Генеральной конференцией Международной организации труда на ее сороковой сессии 25 июня 1957 года. Что касается текста Конвенции, см. сноску 4.</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7" w:name="a8"/>
      <w:bookmarkEnd w:id="7"/>
      <w:r w:rsidRPr="00F92377">
        <w:rPr>
          <w:rFonts w:ascii="Arial" w:eastAsia="Times New Roman" w:hAnsi="Arial" w:cs="Arial"/>
          <w:color w:val="7C7C7C"/>
          <w:sz w:val="18"/>
          <w:szCs w:val="18"/>
          <w:vertAlign w:val="superscript"/>
          <w:lang w:eastAsia="uk-UA"/>
        </w:rPr>
        <w:t>8</w:t>
      </w:r>
      <w:r w:rsidRPr="00F92377">
        <w:rPr>
          <w:rFonts w:ascii="Arial" w:eastAsia="Times New Roman" w:hAnsi="Arial" w:cs="Arial"/>
          <w:color w:val="7C7C7C"/>
          <w:sz w:val="18"/>
          <w:szCs w:val="18"/>
          <w:lang w:eastAsia="uk-UA"/>
        </w:rPr>
        <w:t> См. </w:t>
      </w:r>
      <w:r w:rsidRPr="00F92377">
        <w:rPr>
          <w:rFonts w:ascii="Arial" w:eastAsia="Times New Roman" w:hAnsi="Arial" w:cs="Arial"/>
          <w:i/>
          <w:iCs/>
          <w:color w:val="7C7C7C"/>
          <w:sz w:val="18"/>
          <w:lang w:eastAsia="uk-UA"/>
        </w:rPr>
        <w:t>Шестой Конгресс Организации Объединенных Наций по предупреждению преступности и обращению с правонарушителями, Каракас, 25 августа — 5 сентября 1980 года: доклад, подготовленный Секретариатом</w:t>
      </w:r>
      <w:r w:rsidRPr="00F92377">
        <w:rPr>
          <w:rFonts w:ascii="Arial" w:eastAsia="Times New Roman" w:hAnsi="Arial" w:cs="Arial"/>
          <w:color w:val="7C7C7C"/>
          <w:sz w:val="18"/>
          <w:szCs w:val="18"/>
          <w:lang w:eastAsia="uk-UA"/>
        </w:rPr>
        <w:t> (издание Организации Объединенных Наций, в продаже под № R.81.IV.4), глава I, раздел В.</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8" w:name="a9"/>
      <w:bookmarkEnd w:id="8"/>
      <w:r w:rsidRPr="00F92377">
        <w:rPr>
          <w:rFonts w:ascii="Arial" w:eastAsia="Times New Roman" w:hAnsi="Arial" w:cs="Arial"/>
          <w:color w:val="7C7C7C"/>
          <w:sz w:val="18"/>
          <w:szCs w:val="18"/>
          <w:vertAlign w:val="superscript"/>
          <w:lang w:eastAsia="uk-UA"/>
        </w:rPr>
        <w:t>9</w:t>
      </w:r>
      <w:r w:rsidRPr="00F92377">
        <w:rPr>
          <w:rFonts w:ascii="Arial" w:eastAsia="Times New Roman" w:hAnsi="Arial" w:cs="Arial"/>
          <w:color w:val="7C7C7C"/>
          <w:sz w:val="18"/>
          <w:szCs w:val="18"/>
          <w:lang w:eastAsia="uk-UA"/>
        </w:rPr>
        <w:t> </w:t>
      </w:r>
      <w:hyperlink r:id="rId60" w:history="1">
        <w:r w:rsidRPr="00F92377">
          <w:rPr>
            <w:rFonts w:ascii="Arial" w:eastAsia="Times New Roman" w:hAnsi="Arial" w:cs="Arial"/>
            <w:color w:val="333333"/>
            <w:sz w:val="18"/>
            <w:u w:val="single"/>
            <w:lang w:eastAsia="uk-UA"/>
          </w:rPr>
          <w:t>Резолюция 3452 (XXX)</w:t>
        </w:r>
      </w:hyperlink>
      <w:r w:rsidRPr="00F92377">
        <w:rPr>
          <w:rFonts w:ascii="Arial" w:eastAsia="Times New Roman" w:hAnsi="Arial" w:cs="Arial"/>
          <w:color w:val="7C7C7C"/>
          <w:sz w:val="18"/>
          <w:szCs w:val="18"/>
          <w:lang w:eastAsia="uk-UA"/>
        </w:rPr>
        <w:t>, приложение.</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9" w:name="a10"/>
      <w:bookmarkEnd w:id="9"/>
      <w:r w:rsidRPr="00F92377">
        <w:rPr>
          <w:rFonts w:ascii="Arial" w:eastAsia="Times New Roman" w:hAnsi="Arial" w:cs="Arial"/>
          <w:color w:val="7C7C7C"/>
          <w:sz w:val="18"/>
          <w:szCs w:val="18"/>
          <w:vertAlign w:val="superscript"/>
          <w:lang w:eastAsia="uk-UA"/>
        </w:rPr>
        <w:t>10</w:t>
      </w:r>
      <w:r w:rsidRPr="00F92377">
        <w:rPr>
          <w:rFonts w:ascii="Arial" w:eastAsia="Times New Roman" w:hAnsi="Arial" w:cs="Arial"/>
          <w:color w:val="7C7C7C"/>
          <w:sz w:val="18"/>
          <w:szCs w:val="18"/>
          <w:lang w:eastAsia="uk-UA"/>
        </w:rPr>
        <w:t> </w:t>
      </w:r>
      <w:hyperlink r:id="rId61" w:history="1">
        <w:r w:rsidRPr="00F92377">
          <w:rPr>
            <w:rFonts w:ascii="Arial" w:eastAsia="Times New Roman" w:hAnsi="Arial" w:cs="Arial"/>
            <w:color w:val="333333"/>
            <w:sz w:val="18"/>
            <w:u w:val="single"/>
            <w:lang w:eastAsia="uk-UA"/>
          </w:rPr>
          <w:t>Резолюция 39/46</w:t>
        </w:r>
      </w:hyperlink>
      <w:r w:rsidRPr="00F92377">
        <w:rPr>
          <w:rFonts w:ascii="Arial" w:eastAsia="Times New Roman" w:hAnsi="Arial" w:cs="Arial"/>
          <w:color w:val="7C7C7C"/>
          <w:sz w:val="18"/>
          <w:szCs w:val="18"/>
          <w:lang w:eastAsia="uk-UA"/>
        </w:rPr>
        <w:t>, приложение.</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10" w:name="a11"/>
      <w:bookmarkEnd w:id="10"/>
      <w:r w:rsidRPr="00F92377">
        <w:rPr>
          <w:rFonts w:ascii="Arial" w:eastAsia="Times New Roman" w:hAnsi="Arial" w:cs="Arial"/>
          <w:color w:val="7C7C7C"/>
          <w:sz w:val="18"/>
          <w:szCs w:val="18"/>
          <w:vertAlign w:val="superscript"/>
          <w:lang w:eastAsia="uk-UA"/>
        </w:rPr>
        <w:t>11</w:t>
      </w:r>
      <w:r w:rsidRPr="00F92377">
        <w:rPr>
          <w:rFonts w:ascii="Arial" w:eastAsia="Times New Roman" w:hAnsi="Arial" w:cs="Arial"/>
          <w:color w:val="7C7C7C"/>
          <w:sz w:val="18"/>
          <w:szCs w:val="18"/>
          <w:lang w:eastAsia="uk-UA"/>
        </w:rPr>
        <w:t> См. </w:t>
      </w:r>
      <w:hyperlink r:id="rId62" w:history="1">
        <w:r w:rsidRPr="00F92377">
          <w:rPr>
            <w:rFonts w:ascii="Arial" w:eastAsia="Times New Roman" w:hAnsi="Arial" w:cs="Arial"/>
            <w:color w:val="333333"/>
            <w:sz w:val="18"/>
            <w:u w:val="single"/>
            <w:lang w:eastAsia="uk-UA"/>
          </w:rPr>
          <w:t>резолюцию 35/171</w:t>
        </w:r>
      </w:hyperlink>
      <w:r w:rsidRPr="00F92377">
        <w:rPr>
          <w:rFonts w:ascii="Arial" w:eastAsia="Times New Roman" w:hAnsi="Arial" w:cs="Arial"/>
          <w:color w:val="7C7C7C"/>
          <w:sz w:val="18"/>
          <w:szCs w:val="18"/>
          <w:lang w:eastAsia="uk-UA"/>
        </w:rPr>
        <w:t>, приложение, пункт 1.6.</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11" w:name="a12"/>
      <w:bookmarkEnd w:id="11"/>
      <w:r w:rsidRPr="00F92377">
        <w:rPr>
          <w:rFonts w:ascii="Arial" w:eastAsia="Times New Roman" w:hAnsi="Arial" w:cs="Arial"/>
          <w:color w:val="7C7C7C"/>
          <w:sz w:val="18"/>
          <w:szCs w:val="18"/>
          <w:vertAlign w:val="superscript"/>
          <w:lang w:eastAsia="uk-UA"/>
        </w:rPr>
        <w:t>12</w:t>
      </w:r>
      <w:r w:rsidRPr="00F92377">
        <w:rPr>
          <w:rFonts w:ascii="Arial" w:eastAsia="Times New Roman" w:hAnsi="Arial" w:cs="Arial"/>
          <w:color w:val="7C7C7C"/>
          <w:sz w:val="18"/>
          <w:szCs w:val="18"/>
          <w:lang w:eastAsia="uk-UA"/>
        </w:rPr>
        <w:t> </w:t>
      </w:r>
      <w:hyperlink r:id="rId63" w:history="1">
        <w:r w:rsidRPr="00F92377">
          <w:rPr>
            <w:rFonts w:ascii="Arial" w:eastAsia="Times New Roman" w:hAnsi="Arial" w:cs="Arial"/>
            <w:color w:val="333333"/>
            <w:sz w:val="18"/>
            <w:u w:val="single"/>
            <w:lang w:eastAsia="uk-UA"/>
          </w:rPr>
          <w:t>Резолюция 2263 (XXII)</w:t>
        </w:r>
      </w:hyperlink>
      <w:r w:rsidRPr="00F92377">
        <w:rPr>
          <w:rFonts w:ascii="Arial" w:eastAsia="Times New Roman" w:hAnsi="Arial" w:cs="Arial"/>
          <w:color w:val="7C7C7C"/>
          <w:sz w:val="18"/>
          <w:szCs w:val="18"/>
          <w:lang w:eastAsia="uk-UA"/>
        </w:rPr>
        <w:t>.</w:t>
      </w:r>
    </w:p>
    <w:p w:rsidR="00F92377" w:rsidRPr="00F92377" w:rsidRDefault="00F92377" w:rsidP="00F92377">
      <w:pPr>
        <w:shd w:val="clear" w:color="auto" w:fill="FFFFFF"/>
        <w:spacing w:after="240" w:line="240" w:lineRule="auto"/>
        <w:rPr>
          <w:rFonts w:ascii="Arial" w:eastAsia="Times New Roman" w:hAnsi="Arial" w:cs="Arial"/>
          <w:color w:val="7C7C7C"/>
          <w:sz w:val="18"/>
          <w:szCs w:val="18"/>
          <w:lang w:eastAsia="uk-UA"/>
        </w:rPr>
      </w:pPr>
      <w:bookmarkStart w:id="12" w:name="a13"/>
      <w:bookmarkEnd w:id="12"/>
      <w:r w:rsidRPr="00F92377">
        <w:rPr>
          <w:rFonts w:ascii="Arial" w:eastAsia="Times New Roman" w:hAnsi="Arial" w:cs="Arial"/>
          <w:color w:val="7C7C7C"/>
          <w:sz w:val="18"/>
          <w:szCs w:val="18"/>
          <w:vertAlign w:val="superscript"/>
          <w:lang w:eastAsia="uk-UA"/>
        </w:rPr>
        <w:t>13</w:t>
      </w:r>
      <w:r w:rsidRPr="00F92377">
        <w:rPr>
          <w:rFonts w:ascii="Arial" w:eastAsia="Times New Roman" w:hAnsi="Arial" w:cs="Arial"/>
          <w:color w:val="7C7C7C"/>
          <w:sz w:val="18"/>
          <w:szCs w:val="18"/>
          <w:lang w:eastAsia="uk-UA"/>
        </w:rPr>
        <w:t> </w:t>
      </w:r>
      <w:hyperlink r:id="rId64" w:history="1">
        <w:r w:rsidRPr="00F92377">
          <w:rPr>
            <w:rFonts w:ascii="Arial" w:eastAsia="Times New Roman" w:hAnsi="Arial" w:cs="Arial"/>
            <w:color w:val="333333"/>
            <w:sz w:val="18"/>
            <w:u w:val="single"/>
            <w:lang w:eastAsia="uk-UA"/>
          </w:rPr>
          <w:t>Резолюция 34/180</w:t>
        </w:r>
      </w:hyperlink>
      <w:r w:rsidRPr="00F92377">
        <w:rPr>
          <w:rFonts w:ascii="Arial" w:eastAsia="Times New Roman" w:hAnsi="Arial" w:cs="Arial"/>
          <w:color w:val="7C7C7C"/>
          <w:sz w:val="18"/>
          <w:szCs w:val="18"/>
          <w:lang w:eastAsia="uk-UA"/>
        </w:rPr>
        <w:t>, приложение.</w:t>
      </w:r>
    </w:p>
    <w:p w:rsidR="005C07BC" w:rsidRDefault="005C07BC"/>
    <w:sectPr w:rsidR="005C07BC" w:rsidSect="005C07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hyphenationZone w:val="425"/>
  <w:characterSpacingControl w:val="doNotCompress"/>
  <w:compat/>
  <w:rsids>
    <w:rsidRoot w:val="00F92377"/>
    <w:rsid w:val="005C07BC"/>
    <w:rsid w:val="00F923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BC"/>
  </w:style>
  <w:style w:type="paragraph" w:styleId="2">
    <w:name w:val="heading 2"/>
    <w:basedOn w:val="a"/>
    <w:next w:val="a"/>
    <w:link w:val="20"/>
    <w:uiPriority w:val="9"/>
    <w:semiHidden/>
    <w:unhideWhenUsed/>
    <w:qFormat/>
    <w:rsid w:val="00F92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9237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F9237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F92377"/>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2377"/>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F92377"/>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F92377"/>
    <w:rPr>
      <w:rFonts w:ascii="Times New Roman" w:eastAsia="Times New Roman" w:hAnsi="Times New Roman" w:cs="Times New Roman"/>
      <w:b/>
      <w:bCs/>
      <w:sz w:val="20"/>
      <w:szCs w:val="20"/>
      <w:lang w:eastAsia="uk-UA"/>
    </w:rPr>
  </w:style>
  <w:style w:type="paragraph" w:styleId="a3">
    <w:name w:val="Normal (Web)"/>
    <w:basedOn w:val="a"/>
    <w:uiPriority w:val="99"/>
    <w:semiHidden/>
    <w:unhideWhenUsed/>
    <w:rsid w:val="00F923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92377"/>
    <w:rPr>
      <w:color w:val="0000FF"/>
      <w:u w:val="single"/>
    </w:rPr>
  </w:style>
  <w:style w:type="character" w:styleId="a5">
    <w:name w:val="Emphasis"/>
    <w:basedOn w:val="a0"/>
    <w:uiPriority w:val="20"/>
    <w:qFormat/>
    <w:rsid w:val="00F92377"/>
    <w:rPr>
      <w:i/>
      <w:iCs/>
    </w:rPr>
  </w:style>
  <w:style w:type="paragraph" w:customStyle="1" w:styleId="notes">
    <w:name w:val="notes"/>
    <w:basedOn w:val="a"/>
    <w:rsid w:val="00F923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F9237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224588">
      <w:bodyDiv w:val="1"/>
      <w:marLeft w:val="0"/>
      <w:marRight w:val="0"/>
      <w:marTop w:val="0"/>
      <w:marBottom w:val="0"/>
      <w:divBdr>
        <w:top w:val="none" w:sz="0" w:space="0" w:color="auto"/>
        <w:left w:val="none" w:sz="0" w:space="0" w:color="auto"/>
        <w:bottom w:val="none" w:sz="0" w:space="0" w:color="auto"/>
        <w:right w:val="none" w:sz="0" w:space="0" w:color="auto"/>
      </w:divBdr>
      <w:divsChild>
        <w:div w:id="1918787130">
          <w:blockQuote w:val="1"/>
          <w:marLeft w:val="240"/>
          <w:marRight w:val="240"/>
          <w:marTop w:val="240"/>
          <w:marBottom w:val="240"/>
          <w:divBdr>
            <w:top w:val="none" w:sz="0" w:space="0" w:color="auto"/>
            <w:left w:val="none" w:sz="0" w:space="0" w:color="auto"/>
            <w:bottom w:val="none" w:sz="0" w:space="0" w:color="auto"/>
            <w:right w:val="none" w:sz="0" w:space="0" w:color="auto"/>
          </w:divBdr>
        </w:div>
        <w:div w:id="2025747074">
          <w:blockQuote w:val="1"/>
          <w:marLeft w:val="240"/>
          <w:marRight w:val="240"/>
          <w:marTop w:val="240"/>
          <w:marBottom w:val="240"/>
          <w:divBdr>
            <w:top w:val="none" w:sz="0" w:space="0" w:color="auto"/>
            <w:left w:val="none" w:sz="0" w:space="0" w:color="auto"/>
            <w:bottom w:val="none" w:sz="0" w:space="0" w:color="auto"/>
            <w:right w:val="none" w:sz="0" w:space="0" w:color="auto"/>
          </w:divBdr>
        </w:div>
        <w:div w:id="572197933">
          <w:blockQuote w:val="1"/>
          <w:marLeft w:val="240"/>
          <w:marRight w:val="240"/>
          <w:marTop w:val="240"/>
          <w:marBottom w:val="240"/>
          <w:divBdr>
            <w:top w:val="none" w:sz="0" w:space="0" w:color="auto"/>
            <w:left w:val="none" w:sz="0" w:space="0" w:color="auto"/>
            <w:bottom w:val="none" w:sz="0" w:space="0" w:color="auto"/>
            <w:right w:val="none" w:sz="0" w:space="0" w:color="auto"/>
          </w:divBdr>
        </w:div>
        <w:div w:id="564216784">
          <w:blockQuote w:val="1"/>
          <w:marLeft w:val="240"/>
          <w:marRight w:val="240"/>
          <w:marTop w:val="240"/>
          <w:marBottom w:val="240"/>
          <w:divBdr>
            <w:top w:val="none" w:sz="0" w:space="0" w:color="auto"/>
            <w:left w:val="none" w:sz="0" w:space="0" w:color="auto"/>
            <w:bottom w:val="none" w:sz="0" w:space="0" w:color="auto"/>
            <w:right w:val="none" w:sz="0" w:space="0" w:color="auto"/>
          </w:divBdr>
        </w:div>
        <w:div w:id="492263903">
          <w:blockQuote w:val="1"/>
          <w:marLeft w:val="240"/>
          <w:marRight w:val="240"/>
          <w:marTop w:val="240"/>
          <w:marBottom w:val="240"/>
          <w:divBdr>
            <w:top w:val="none" w:sz="0" w:space="0" w:color="auto"/>
            <w:left w:val="none" w:sz="0" w:space="0" w:color="auto"/>
            <w:bottom w:val="none" w:sz="0" w:space="0" w:color="auto"/>
            <w:right w:val="none" w:sz="0" w:space="0" w:color="auto"/>
          </w:divBdr>
        </w:div>
        <w:div w:id="141080662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205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ru/documents/decl_conv/declarations/declhr.shtml" TargetMode="External"/><Relationship Id="rId18" Type="http://schemas.openxmlformats.org/officeDocument/2006/relationships/hyperlink" Target="http://www.un.org/ru/documents/decl_conv/declarations/childdec.shtml" TargetMode="External"/><Relationship Id="rId26" Type="http://schemas.openxmlformats.org/officeDocument/2006/relationships/hyperlink" Target="http://www.un.org/ru/documents/decl_conv/conventions/beijing_rules.shtml" TargetMode="External"/><Relationship Id="rId39" Type="http://schemas.openxmlformats.org/officeDocument/2006/relationships/hyperlink" Target="http://www.un.org/ru/documents/decl_conv/conventions/beijing_rules.shtml" TargetMode="External"/><Relationship Id="rId21" Type="http://schemas.openxmlformats.org/officeDocument/2006/relationships/hyperlink" Target="http://www.un.org/ru/documents/decl_conv/conventions/beijing_rules.shtml" TargetMode="External"/><Relationship Id="rId34" Type="http://schemas.openxmlformats.org/officeDocument/2006/relationships/hyperlink" Target="http://www.un.org/ru/documents/decl_conv/conventions/beijing_rules.shtml" TargetMode="External"/><Relationship Id="rId42" Type="http://schemas.openxmlformats.org/officeDocument/2006/relationships/hyperlink" Target="http://www.un.org/ru/documents/decl_conv/conventions/pactpol.shtml" TargetMode="External"/><Relationship Id="rId47" Type="http://schemas.openxmlformats.org/officeDocument/2006/relationships/hyperlink" Target="http://www.un.org/ru/documents/decl_conv/conventions/beijing_rules.shtml" TargetMode="External"/><Relationship Id="rId50" Type="http://schemas.openxmlformats.org/officeDocument/2006/relationships/hyperlink" Target="http://www.un.org/ru/documents/ods.asp?m=A/RES/1386(XIV)" TargetMode="External"/><Relationship Id="rId55" Type="http://schemas.openxmlformats.org/officeDocument/2006/relationships/hyperlink" Target="http://www.un.org/ru/documents/ods.asp?m=A/RES/217(III)" TargetMode="External"/><Relationship Id="rId63" Type="http://schemas.openxmlformats.org/officeDocument/2006/relationships/hyperlink" Target="http://www.un.org/ru/documents/ods.asp?m=A/RES/2263(XXII)" TargetMode="External"/><Relationship Id="rId7" Type="http://schemas.openxmlformats.org/officeDocument/2006/relationships/hyperlink" Target="http://www.un.org/ru/documents/decl_conv/declarations/declhr.shtml" TargetMode="External"/><Relationship Id="rId2" Type="http://schemas.openxmlformats.org/officeDocument/2006/relationships/settings" Target="settings.xml"/><Relationship Id="rId16" Type="http://schemas.openxmlformats.org/officeDocument/2006/relationships/hyperlink" Target="http://www.un.org/ru/documents/decl_conv/conventions/beijing_rules.shtml"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decl_conv/conventions/beijing_rules.shtml" TargetMode="External"/><Relationship Id="rId41" Type="http://schemas.openxmlformats.org/officeDocument/2006/relationships/hyperlink" Target="http://www.un.org/ru/documents/decl_conv/conventions/beijing_rules.shtml" TargetMode="External"/><Relationship Id="rId54" Type="http://schemas.openxmlformats.org/officeDocument/2006/relationships/hyperlink" Target="http://www.un.org/ru/documents/ods.asp?m=A/RES/35/171" TargetMode="External"/><Relationship Id="rId62" Type="http://schemas.openxmlformats.org/officeDocument/2006/relationships/hyperlink" Target="http://www.un.org/ru/documents/ods.asp?m=A/RES/35/171" TargetMode="External"/><Relationship Id="rId1" Type="http://schemas.openxmlformats.org/officeDocument/2006/relationships/styles" Target="styles.xml"/><Relationship Id="rId6" Type="http://schemas.openxmlformats.org/officeDocument/2006/relationships/hyperlink" Target="http://www.un.org/ru/documents/decl_conv/conventions/beijing_rules.shtml" TargetMode="External"/><Relationship Id="rId11" Type="http://schemas.openxmlformats.org/officeDocument/2006/relationships/hyperlink" Target="http://www.un.org/ru/documents/decl_conv/conventions/prison.shtml" TargetMode="External"/><Relationship Id="rId24" Type="http://schemas.openxmlformats.org/officeDocument/2006/relationships/hyperlink" Target="http://www.un.org/ru/documents/decl_conv/conventions/beijing_rules.shtml" TargetMode="External"/><Relationship Id="rId32" Type="http://schemas.openxmlformats.org/officeDocument/2006/relationships/hyperlink" Target="http://www.un.org/ru/documents/decl_conv/conventions/pactpol.shtml" TargetMode="External"/><Relationship Id="rId37" Type="http://schemas.openxmlformats.org/officeDocument/2006/relationships/hyperlink" Target="http://www.un.org/ru/documents/decl_conv/conventions/beijing_rules.shtml" TargetMode="External"/><Relationship Id="rId40" Type="http://schemas.openxmlformats.org/officeDocument/2006/relationships/hyperlink" Target="http://www.un.org/ru/documents/decl_conv/conventions/beijing_rules.shtml" TargetMode="External"/><Relationship Id="rId45" Type="http://schemas.openxmlformats.org/officeDocument/2006/relationships/hyperlink" Target="http://www.un.org/ru/documents/decl_conv/conventions/beijing_rules.shtml" TargetMode="External"/><Relationship Id="rId53" Type="http://schemas.openxmlformats.org/officeDocument/2006/relationships/hyperlink" Target="http://www.un.org/ru/documents/ods.asp?m=A/RES/36/55" TargetMode="External"/><Relationship Id="rId58" Type="http://schemas.openxmlformats.org/officeDocument/2006/relationships/hyperlink" Target="http://www.un.org/ru/documents/ods.asp?m=E/RES/663(XXIV)" TargetMode="External"/><Relationship Id="rId66" Type="http://schemas.openxmlformats.org/officeDocument/2006/relationships/theme" Target="theme/theme1.xml"/><Relationship Id="rId5" Type="http://schemas.openxmlformats.org/officeDocument/2006/relationships/hyperlink" Target="http://www.un.org/ru/documents/decl_conv/declarations/childdec.shtml"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beijing_rules.shtml" TargetMode="External"/><Relationship Id="rId28" Type="http://schemas.openxmlformats.org/officeDocument/2006/relationships/hyperlink" Target="http://www.un.org/ru/documents/decl_conv/conventions/prison.shtml" TargetMode="External"/><Relationship Id="rId36" Type="http://schemas.openxmlformats.org/officeDocument/2006/relationships/hyperlink" Target="http://www.un.org/ru/documents/decl_conv/conventions/torture.shtml" TargetMode="External"/><Relationship Id="rId49" Type="http://schemas.openxmlformats.org/officeDocument/2006/relationships/hyperlink" Target="http://www.un.org/ru/documents/decl_conv/conventions/beijing_rules.shtml" TargetMode="External"/><Relationship Id="rId57" Type="http://schemas.openxmlformats.org/officeDocument/2006/relationships/hyperlink" Target="http://www.un.org/ru/documents/ods.asp?m=E/RES/1985/42" TargetMode="External"/><Relationship Id="rId61" Type="http://schemas.openxmlformats.org/officeDocument/2006/relationships/hyperlink" Target="http://www.un.org/ru/documents/ods.asp?m=A/RES/39/46" TargetMode="External"/><Relationship Id="rId10" Type="http://schemas.openxmlformats.org/officeDocument/2006/relationships/hyperlink" Target="http://www.un.org/ru/documents/decl_conv/conventions/beijing_rules.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hyperlink" Target="http://www.un.org/ru/documents/decl_conv/conventions/beijing_rules.shtml" TargetMode="External"/><Relationship Id="rId44" Type="http://schemas.openxmlformats.org/officeDocument/2006/relationships/hyperlink" Target="http://www.un.org/ru/documents/decl_conv/conventions/beijing_rules.shtml" TargetMode="External"/><Relationship Id="rId52" Type="http://schemas.openxmlformats.org/officeDocument/2006/relationships/hyperlink" Target="http://www.un.org/ru/events/pastevents/racism.shtml" TargetMode="External"/><Relationship Id="rId60" Type="http://schemas.openxmlformats.org/officeDocument/2006/relationships/hyperlink" Target="http://www.un.org/ru/documents/ods.asp?m=A/RES/3452(XXX)" TargetMode="External"/><Relationship Id="rId65" Type="http://schemas.openxmlformats.org/officeDocument/2006/relationships/fontTable" Target="fontTable.xml"/><Relationship Id="rId4" Type="http://schemas.openxmlformats.org/officeDocument/2006/relationships/hyperlink" Target="http://www.un.org/ru/members/" TargetMode="External"/><Relationship Id="rId9" Type="http://schemas.openxmlformats.org/officeDocument/2006/relationships/hyperlink" Target="http://www.un.org/ru/documents/decl_conv/conventions/pactpol.shtml" TargetMode="External"/><Relationship Id="rId14" Type="http://schemas.openxmlformats.org/officeDocument/2006/relationships/hyperlink" Target="http://www.un.org/ru/documents/decl_conv/conventions/beijing_rules.shtml" TargetMode="External"/><Relationship Id="rId22" Type="http://schemas.openxmlformats.org/officeDocument/2006/relationships/hyperlink" Target="http://www.un.org/ru/documents/decl_conv/conventions/beijing_rules.shtml" TargetMode="External"/><Relationship Id="rId27" Type="http://schemas.openxmlformats.org/officeDocument/2006/relationships/hyperlink" Target="http://www.un.org/ru/documents/decl_conv/conventions/beijing_rules.shtml" TargetMode="External"/><Relationship Id="rId30" Type="http://schemas.openxmlformats.org/officeDocument/2006/relationships/hyperlink" Target="http://www.un.org/ru/documents/decl_conv/conventions/beijing_rules.shtml" TargetMode="External"/><Relationship Id="rId35" Type="http://schemas.openxmlformats.org/officeDocument/2006/relationships/hyperlink" Target="http://www.un.org/ru/documents/decl_conv/conventions/beijing_rules.shtml" TargetMode="External"/><Relationship Id="rId43" Type="http://schemas.openxmlformats.org/officeDocument/2006/relationships/hyperlink" Target="http://www.un.org/ru/documents/decl_conv/conventions/beijing_rules.shtml" TargetMode="External"/><Relationship Id="rId48" Type="http://schemas.openxmlformats.org/officeDocument/2006/relationships/hyperlink" Target="http://www.un.org/ru/documents/decl_conv/conventions/cedaw.shtml" TargetMode="External"/><Relationship Id="rId56" Type="http://schemas.openxmlformats.org/officeDocument/2006/relationships/hyperlink" Target="http://www.un.org/ru/documents/ods.asp?m=A/RES/2200(XXI)" TargetMode="External"/><Relationship Id="rId64" Type="http://schemas.openxmlformats.org/officeDocument/2006/relationships/hyperlink" Target="http://www.un.org/ru/documents/ods.asp?m=A/RES/34/180" TargetMode="External"/><Relationship Id="rId8" Type="http://schemas.openxmlformats.org/officeDocument/2006/relationships/hyperlink" Target="http://www.un.org/ru/documents/decl_conv/conventions/beijing_rules.shtml" TargetMode="External"/><Relationship Id="rId51" Type="http://schemas.openxmlformats.org/officeDocument/2006/relationships/hyperlink" Target="http://www.un.org/ru/documents/ods.asp?m=A/RES/34/180" TargetMode="External"/><Relationship Id="rId3" Type="http://schemas.openxmlformats.org/officeDocument/2006/relationships/webSettings" Target="webSettings.xml"/><Relationship Id="rId12" Type="http://schemas.openxmlformats.org/officeDocument/2006/relationships/hyperlink" Target="http://www.un.org/ru/documents/decl_conv/conventions/beijing_rules.shtml" TargetMode="External"/><Relationship Id="rId17" Type="http://schemas.openxmlformats.org/officeDocument/2006/relationships/hyperlink" Target="http://www.un.org/ru/documents/decl_conv/conventions/beijing_rules.shtml" TargetMode="External"/><Relationship Id="rId25" Type="http://schemas.openxmlformats.org/officeDocument/2006/relationships/hyperlink" Target="http://www.un.org/ru/documents/decl_conv/conventions/beijing_rules.shtml" TargetMode="External"/><Relationship Id="rId33" Type="http://schemas.openxmlformats.org/officeDocument/2006/relationships/hyperlink" Target="http://www.un.org/ru/documents/decl_conv/conventions/beijing_rules.shtml" TargetMode="External"/><Relationship Id="rId38" Type="http://schemas.openxmlformats.org/officeDocument/2006/relationships/hyperlink" Target="http://www.un.org/ru/documents/decl_conv/conventions/beijing_rules.shtml" TargetMode="External"/><Relationship Id="rId46" Type="http://schemas.openxmlformats.org/officeDocument/2006/relationships/hyperlink" Target="http://www.un.org/ru/documents/decl_conv/conventions/beijing_rules.shtml" TargetMode="External"/><Relationship Id="rId59" Type="http://schemas.openxmlformats.org/officeDocument/2006/relationships/hyperlink" Target="http://www.un.org/ru/documents/ods.asp?m=E/RES/2076(LX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45363</Words>
  <Characters>25858</Characters>
  <Application>Microsoft Office Word</Application>
  <DocSecurity>0</DocSecurity>
  <Lines>215</Lines>
  <Paragraphs>142</Paragraphs>
  <ScaleCrop>false</ScaleCrop>
  <Company>MultiDVD Team</Company>
  <LinksUpToDate>false</LinksUpToDate>
  <CharactersWithSpaces>71079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2018-03-23T14:10:00Z</dcterms:created>
  <dcterms:modified xsi:type="dcterms:W3CDTF">2018-03-23T14:15:00Z</dcterms:modified>
</cp:coreProperties>
</file>